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8" w:type="dxa"/>
        <w:tblInd w:w="-176" w:type="dxa"/>
        <w:tblLook w:val="01E0" w:firstRow="1" w:lastRow="1" w:firstColumn="1" w:lastColumn="1" w:noHBand="0" w:noVBand="0"/>
      </w:tblPr>
      <w:tblGrid>
        <w:gridCol w:w="3668"/>
        <w:gridCol w:w="5670"/>
      </w:tblGrid>
      <w:tr w:rsidR="009E4F83" w:rsidRPr="009E4F83" w14:paraId="5ADBBB9A" w14:textId="77777777" w:rsidTr="00215237">
        <w:trPr>
          <w:trHeight w:val="1278"/>
        </w:trPr>
        <w:tc>
          <w:tcPr>
            <w:tcW w:w="3668" w:type="dxa"/>
          </w:tcPr>
          <w:p w14:paraId="6A13D01D" w14:textId="26F42212" w:rsidR="005E0300" w:rsidRPr="009E4F83" w:rsidRDefault="00363351" w:rsidP="00104CD7">
            <w:pPr>
              <w:spacing w:line="276" w:lineRule="auto"/>
              <w:jc w:val="center"/>
              <w:rPr>
                <w:b/>
                <w:sz w:val="26"/>
                <w:lang w:val="vi-VN"/>
              </w:rPr>
            </w:pPr>
            <w:bookmarkStart w:id="0" w:name="_Hlk168667852"/>
            <w:r w:rsidRPr="009E4F83">
              <w:rPr>
                <w:b/>
                <w:sz w:val="26"/>
              </w:rPr>
              <w:t>CHÍNH PHỦ</w:t>
            </w:r>
          </w:p>
          <w:p w14:paraId="1523E718" w14:textId="56254A02" w:rsidR="005E0300" w:rsidRPr="009E4F83" w:rsidRDefault="005E0300" w:rsidP="00856B24">
            <w:pPr>
              <w:rPr>
                <w:sz w:val="26"/>
                <w:szCs w:val="26"/>
              </w:rPr>
            </w:pPr>
            <w:r w:rsidRPr="009E4F83">
              <w:rPr>
                <w:noProof/>
              </w:rPr>
              <mc:AlternateContent>
                <mc:Choice Requires="wps">
                  <w:drawing>
                    <wp:anchor distT="0" distB="0" distL="114300" distR="114300" simplePos="0" relativeHeight="251659264" behindDoc="0" locked="0" layoutInCell="1" allowOverlap="1" wp14:anchorId="15E86EBC" wp14:editId="6AEE593D">
                      <wp:simplePos x="0" y="0"/>
                      <wp:positionH relativeFrom="column">
                        <wp:posOffset>718185</wp:posOffset>
                      </wp:positionH>
                      <wp:positionV relativeFrom="paragraph">
                        <wp:posOffset>189865</wp:posOffset>
                      </wp:positionV>
                      <wp:extent cx="720090" cy="0"/>
                      <wp:effectExtent l="13335" t="8890" r="9525" b="10160"/>
                      <wp:wrapNone/>
                      <wp:docPr id="12458394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926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4.95pt" to="11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"/>
                  </w:pict>
                </mc:Fallback>
              </mc:AlternateContent>
            </w:r>
          </w:p>
          <w:p w14:paraId="4DCFB8AC" w14:textId="4A8CB3E7" w:rsidR="005E0300" w:rsidRPr="009E4F83" w:rsidRDefault="005E0300" w:rsidP="002B2817">
            <w:pPr>
              <w:spacing w:before="120"/>
              <w:jc w:val="center"/>
              <w:rPr>
                <w:sz w:val="26"/>
                <w:szCs w:val="26"/>
              </w:rPr>
            </w:pPr>
            <w:r w:rsidRPr="009E4F83">
              <w:rPr>
                <w:sz w:val="26"/>
                <w:szCs w:val="26"/>
              </w:rPr>
              <w:t xml:space="preserve">Số: </w:t>
            </w:r>
            <w:r w:rsidR="00363351" w:rsidRPr="009E4F83">
              <w:rPr>
                <w:sz w:val="26"/>
                <w:szCs w:val="26"/>
              </w:rPr>
              <w:t>514</w:t>
            </w:r>
            <w:r w:rsidR="00425AF3" w:rsidRPr="009E4F83">
              <w:rPr>
                <w:sz w:val="26"/>
                <w:szCs w:val="26"/>
              </w:rPr>
              <w:t xml:space="preserve"> </w:t>
            </w:r>
            <w:r w:rsidR="006324D8" w:rsidRPr="009E4F83">
              <w:rPr>
                <w:sz w:val="26"/>
                <w:szCs w:val="26"/>
              </w:rPr>
              <w:t>/</w:t>
            </w:r>
            <w:r w:rsidR="0095262B" w:rsidRPr="009E4F83">
              <w:rPr>
                <w:sz w:val="26"/>
                <w:szCs w:val="26"/>
              </w:rPr>
              <w:t>TTr</w:t>
            </w:r>
            <w:r w:rsidR="006324D8" w:rsidRPr="009E4F83">
              <w:rPr>
                <w:sz w:val="26"/>
                <w:szCs w:val="26"/>
              </w:rPr>
              <w:t>-</w:t>
            </w:r>
            <w:r w:rsidR="002A5D26" w:rsidRPr="009E4F83">
              <w:rPr>
                <w:sz w:val="26"/>
                <w:szCs w:val="26"/>
              </w:rPr>
              <w:t>CP</w:t>
            </w:r>
          </w:p>
        </w:tc>
        <w:tc>
          <w:tcPr>
            <w:tcW w:w="5670" w:type="dxa"/>
          </w:tcPr>
          <w:p w14:paraId="34EC8AD5" w14:textId="77777777" w:rsidR="005E0300" w:rsidRPr="009E4F83" w:rsidRDefault="005E0300" w:rsidP="00104CD7">
            <w:pPr>
              <w:jc w:val="center"/>
              <w:rPr>
                <w:b/>
                <w:sz w:val="26"/>
              </w:rPr>
            </w:pPr>
            <w:r w:rsidRPr="009E4F83">
              <w:rPr>
                <w:b/>
                <w:sz w:val="26"/>
              </w:rPr>
              <w:t>CỘNG HOÀ XÃ HỘI CHỦ NGHĨA VIỆT NAM</w:t>
            </w:r>
          </w:p>
          <w:p w14:paraId="7196D9E1" w14:textId="77777777" w:rsidR="005E0300" w:rsidRPr="009E4F83" w:rsidRDefault="005E0300" w:rsidP="00104CD7">
            <w:pPr>
              <w:jc w:val="center"/>
              <w:rPr>
                <w:b/>
                <w:sz w:val="30"/>
              </w:rPr>
            </w:pPr>
            <w:r w:rsidRPr="009E4F83">
              <w:rPr>
                <w:b/>
              </w:rPr>
              <w:t>Độc lập - Tự do - Hạnh phúc</w:t>
            </w:r>
          </w:p>
          <w:p w14:paraId="43317809" w14:textId="50E59207" w:rsidR="005E0300" w:rsidRPr="009E4F83" w:rsidRDefault="005E0300" w:rsidP="00104CD7">
            <w:pPr>
              <w:jc w:val="center"/>
              <w:rPr>
                <w:b/>
              </w:rPr>
            </w:pPr>
            <w:r w:rsidRPr="009E4F83">
              <w:rPr>
                <w:noProof/>
              </w:rPr>
              <mc:AlternateContent>
                <mc:Choice Requires="wps">
                  <w:drawing>
                    <wp:anchor distT="0" distB="0" distL="114300" distR="114300" simplePos="0" relativeHeight="251660288" behindDoc="0" locked="0" layoutInCell="1" allowOverlap="1" wp14:anchorId="10ECDE2B" wp14:editId="26A9887B">
                      <wp:simplePos x="0" y="0"/>
                      <wp:positionH relativeFrom="column">
                        <wp:posOffset>735965</wp:posOffset>
                      </wp:positionH>
                      <wp:positionV relativeFrom="paragraph">
                        <wp:posOffset>86360</wp:posOffset>
                      </wp:positionV>
                      <wp:extent cx="1898650" cy="0"/>
                      <wp:effectExtent l="12065" t="10160" r="13335" b="8890"/>
                      <wp:wrapNone/>
                      <wp:docPr id="13314914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0E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6.8pt" to="207.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"/>
                  </w:pict>
                </mc:Fallback>
              </mc:AlternateContent>
            </w:r>
          </w:p>
          <w:p w14:paraId="5BD6CF4E" w14:textId="5EF0C634" w:rsidR="005E0300" w:rsidRPr="009E4F83" w:rsidRDefault="005E0300" w:rsidP="002B2817">
            <w:pPr>
              <w:tabs>
                <w:tab w:val="left" w:pos="2326"/>
              </w:tabs>
              <w:jc w:val="center"/>
              <w:rPr>
                <w:i/>
              </w:rPr>
            </w:pPr>
            <w:r w:rsidRPr="009E4F83">
              <w:rPr>
                <w:i/>
                <w:sz w:val="26"/>
                <w:szCs w:val="26"/>
              </w:rPr>
              <w:t xml:space="preserve">              Hà Nội, ngày </w:t>
            </w:r>
            <w:r w:rsidR="00363351" w:rsidRPr="009E4F83">
              <w:rPr>
                <w:i/>
                <w:sz w:val="26"/>
                <w:szCs w:val="26"/>
              </w:rPr>
              <w:t>24</w:t>
            </w:r>
            <w:r w:rsidRPr="009E4F83">
              <w:rPr>
                <w:i/>
                <w:sz w:val="26"/>
                <w:szCs w:val="26"/>
              </w:rPr>
              <w:t xml:space="preserve"> tháng</w:t>
            </w:r>
            <w:r w:rsidR="002A5D26" w:rsidRPr="009E4F83">
              <w:rPr>
                <w:i/>
                <w:sz w:val="26"/>
                <w:szCs w:val="26"/>
              </w:rPr>
              <w:t xml:space="preserve"> </w:t>
            </w:r>
            <w:r w:rsidR="00363351" w:rsidRPr="009E4F83">
              <w:rPr>
                <w:i/>
                <w:sz w:val="26"/>
                <w:szCs w:val="26"/>
              </w:rPr>
              <w:t>9</w:t>
            </w:r>
            <w:r w:rsidR="002A5D26" w:rsidRPr="009E4F83">
              <w:rPr>
                <w:i/>
                <w:sz w:val="26"/>
                <w:szCs w:val="26"/>
              </w:rPr>
              <w:t xml:space="preserve"> </w:t>
            </w:r>
            <w:r w:rsidRPr="009E4F83">
              <w:rPr>
                <w:i/>
                <w:sz w:val="26"/>
                <w:szCs w:val="26"/>
              </w:rPr>
              <w:t>năm 20</w:t>
            </w:r>
            <w:r w:rsidRPr="009E4F83">
              <w:rPr>
                <w:i/>
                <w:sz w:val="26"/>
                <w:szCs w:val="26"/>
                <w:lang w:val="vi-VN"/>
              </w:rPr>
              <w:t>2</w:t>
            </w:r>
            <w:r w:rsidRPr="009E4F83">
              <w:rPr>
                <w:i/>
                <w:sz w:val="26"/>
                <w:szCs w:val="26"/>
              </w:rPr>
              <w:t>4</w:t>
            </w:r>
          </w:p>
        </w:tc>
      </w:tr>
    </w:tbl>
    <w:p w14:paraId="4C79567D" w14:textId="77777777" w:rsidR="00215237" w:rsidRPr="009E4F83" w:rsidRDefault="00215237" w:rsidP="00215237">
      <w:pPr>
        <w:tabs>
          <w:tab w:val="left" w:pos="567"/>
        </w:tabs>
        <w:spacing w:line="340" w:lineRule="exact"/>
        <w:ind w:firstLine="634"/>
        <w:jc w:val="center"/>
        <w:rPr>
          <w:b/>
          <w:bCs/>
          <w:sz w:val="26"/>
          <w:szCs w:val="26"/>
        </w:rPr>
      </w:pPr>
    </w:p>
    <w:p w14:paraId="45B9214C" w14:textId="7ADFAC56" w:rsidR="005E0300" w:rsidRPr="009E4F83" w:rsidRDefault="0095262B" w:rsidP="00FB3D84">
      <w:pPr>
        <w:tabs>
          <w:tab w:val="left" w:pos="567"/>
        </w:tabs>
        <w:spacing w:line="340" w:lineRule="exact"/>
        <w:jc w:val="center"/>
        <w:rPr>
          <w:b/>
          <w:bCs/>
          <w:sz w:val="28"/>
          <w:szCs w:val="28"/>
        </w:rPr>
      </w:pPr>
      <w:r w:rsidRPr="009E4F83">
        <w:rPr>
          <w:b/>
          <w:bCs/>
          <w:sz w:val="28"/>
          <w:szCs w:val="28"/>
        </w:rPr>
        <w:t>TỜ TRÌNH TÓM TẮT</w:t>
      </w:r>
    </w:p>
    <w:p w14:paraId="6DA5EAAA" w14:textId="1FD966F7" w:rsidR="005E0300" w:rsidRPr="009E4F83" w:rsidRDefault="00FB3D84" w:rsidP="00FB3D84">
      <w:pPr>
        <w:tabs>
          <w:tab w:val="left" w:pos="567"/>
        </w:tabs>
        <w:spacing w:before="120" w:line="340" w:lineRule="exact"/>
        <w:jc w:val="center"/>
        <w:rPr>
          <w:b/>
          <w:bCs/>
          <w:spacing w:val="-1"/>
          <w:sz w:val="28"/>
          <w:szCs w:val="28"/>
          <w:lang w:val="vi-VN"/>
        </w:rPr>
      </w:pPr>
      <w:r w:rsidRPr="009E4F83">
        <w:rPr>
          <w:b/>
          <w:bCs/>
          <w:spacing w:val="-1"/>
          <w:sz w:val="28"/>
          <w:szCs w:val="28"/>
        </w:rPr>
        <w:t>Dự án</w:t>
      </w:r>
      <w:r w:rsidR="005E0300" w:rsidRPr="009E4F83">
        <w:rPr>
          <w:b/>
          <w:bCs/>
          <w:spacing w:val="-1"/>
          <w:sz w:val="28"/>
          <w:szCs w:val="28"/>
        </w:rPr>
        <w:t xml:space="preserve"> </w:t>
      </w:r>
      <w:bookmarkStart w:id="1" w:name="_Hlk178070723"/>
      <w:r w:rsidR="005E0300" w:rsidRPr="009E4F83">
        <w:rPr>
          <w:b/>
          <w:bCs/>
          <w:spacing w:val="-1"/>
          <w:sz w:val="28"/>
          <w:szCs w:val="28"/>
        </w:rPr>
        <w:t>Luật sửa đổi, bổ sung một số điều của Luật Quy hoạch,</w:t>
      </w:r>
      <w:r w:rsidR="00054CF8" w:rsidRPr="009E4F83">
        <w:rPr>
          <w:b/>
          <w:bCs/>
          <w:spacing w:val="-1"/>
          <w:sz w:val="28"/>
          <w:szCs w:val="28"/>
        </w:rPr>
        <w:t xml:space="preserve"> </w:t>
      </w:r>
      <w:r w:rsidR="005E0300" w:rsidRPr="009E4F83">
        <w:rPr>
          <w:b/>
          <w:bCs/>
          <w:spacing w:val="-1"/>
          <w:sz w:val="28"/>
          <w:szCs w:val="28"/>
        </w:rPr>
        <w:t>Luật Đầu tư, Luật Đầu tư theo phương thức đối tác công tư</w:t>
      </w:r>
      <w:r w:rsidR="0010246C" w:rsidRPr="009E4F83">
        <w:rPr>
          <w:b/>
          <w:bCs/>
          <w:spacing w:val="-1"/>
          <w:sz w:val="28"/>
          <w:szCs w:val="28"/>
        </w:rPr>
        <w:t xml:space="preserve"> và</w:t>
      </w:r>
      <w:r w:rsidR="005E0300" w:rsidRPr="009E4F83">
        <w:rPr>
          <w:b/>
          <w:bCs/>
          <w:spacing w:val="-1"/>
          <w:sz w:val="28"/>
          <w:szCs w:val="28"/>
        </w:rPr>
        <w:t xml:space="preserve"> Luật Đấu thầu</w:t>
      </w:r>
      <w:bookmarkEnd w:id="1"/>
    </w:p>
    <w:p w14:paraId="29379E02" w14:textId="66B4D2AA" w:rsidR="00215237" w:rsidRPr="009E4F83" w:rsidRDefault="00B8691C" w:rsidP="00FB3D84">
      <w:pPr>
        <w:tabs>
          <w:tab w:val="left" w:pos="567"/>
        </w:tabs>
        <w:spacing w:before="360" w:after="360" w:line="360" w:lineRule="exact"/>
        <w:jc w:val="center"/>
        <w:rPr>
          <w:sz w:val="28"/>
          <w:szCs w:val="28"/>
        </w:rPr>
      </w:pPr>
      <w:r w:rsidRPr="009E4F83">
        <w:rPr>
          <w:sz w:val="28"/>
          <w:szCs w:val="28"/>
          <w:lang w:val="vi-VN"/>
        </w:rPr>
        <w:t xml:space="preserve">Kính gửi: </w:t>
      </w:r>
      <w:r w:rsidR="002A5D26" w:rsidRPr="009E4F83">
        <w:rPr>
          <w:sz w:val="28"/>
          <w:szCs w:val="28"/>
        </w:rPr>
        <w:t>Quốc hội</w:t>
      </w:r>
    </w:p>
    <w:bookmarkEnd w:id="0"/>
    <w:p w14:paraId="72CF0F16" w14:textId="77777777" w:rsidR="009E4F83" w:rsidRPr="009E4F83" w:rsidRDefault="009E4F83" w:rsidP="009E4F83">
      <w:pPr>
        <w:widowControl w:val="0"/>
        <w:autoSpaceDE w:val="0"/>
        <w:autoSpaceDN w:val="0"/>
        <w:adjustRightInd w:val="0"/>
        <w:spacing w:before="120" w:after="120" w:line="330" w:lineRule="exact"/>
        <w:ind w:firstLine="720"/>
        <w:jc w:val="both"/>
        <w:rPr>
          <w:spacing w:val="-2"/>
          <w:sz w:val="28"/>
          <w:szCs w:val="28"/>
        </w:rPr>
      </w:pPr>
      <w:r w:rsidRPr="009E4F83">
        <w:rPr>
          <w:spacing w:val="-4"/>
          <w:sz w:val="28"/>
          <w:szCs w:val="28"/>
        </w:rPr>
        <w:t>Chính phủ đã có Tờ trình đầy đủ số 513/TTr-CP ngày 24/9/2024 gửi Quốc hội về dự án Luật sửa đổi, bổ sung một số điều của Luật Quy hoạch, Luật Đầu tư, Luật Đầu tư theo phương thức đối tác công tư và Luật Đấu thầu</w:t>
      </w:r>
      <w:r w:rsidRPr="009E4F83">
        <w:rPr>
          <w:spacing w:val="-2"/>
          <w:sz w:val="28"/>
          <w:szCs w:val="28"/>
        </w:rPr>
        <w:t>. Chính phủ báo cáo tóm tắt một số nội dung chủ yếu của dự án Luật như sau:</w:t>
      </w:r>
    </w:p>
    <w:p w14:paraId="01391FE1" w14:textId="1C252F80" w:rsidR="00600878" w:rsidRPr="009E4F83" w:rsidRDefault="00600878" w:rsidP="009E4F83">
      <w:pPr>
        <w:widowControl w:val="0"/>
        <w:autoSpaceDE w:val="0"/>
        <w:autoSpaceDN w:val="0"/>
        <w:adjustRightInd w:val="0"/>
        <w:spacing w:before="120" w:after="120" w:line="330" w:lineRule="exact"/>
        <w:ind w:firstLine="720"/>
        <w:jc w:val="both"/>
        <w:rPr>
          <w:b/>
          <w:bCs/>
          <w:spacing w:val="-4"/>
          <w:sz w:val="28"/>
          <w:szCs w:val="28"/>
        </w:rPr>
      </w:pPr>
      <w:r w:rsidRPr="009E4F83">
        <w:rPr>
          <w:b/>
          <w:bCs/>
          <w:spacing w:val="-4"/>
          <w:sz w:val="28"/>
          <w:szCs w:val="28"/>
        </w:rPr>
        <w:t xml:space="preserve">I. VỀ MỤC </w:t>
      </w:r>
      <w:r w:rsidR="00C11FF7" w:rsidRPr="009E4F83">
        <w:rPr>
          <w:b/>
          <w:bCs/>
          <w:spacing w:val="-4"/>
          <w:sz w:val="28"/>
          <w:szCs w:val="28"/>
        </w:rPr>
        <w:t>TIÊU</w:t>
      </w:r>
      <w:r w:rsidRPr="009E4F83">
        <w:rPr>
          <w:b/>
          <w:bCs/>
          <w:spacing w:val="-4"/>
          <w:sz w:val="28"/>
          <w:szCs w:val="28"/>
        </w:rPr>
        <w:t>, QUAN ĐIỂM XÂY DỰNG LUẬT</w:t>
      </w:r>
    </w:p>
    <w:p w14:paraId="6A112AED" w14:textId="77777777" w:rsidR="00C11FF7" w:rsidRPr="009E4F83" w:rsidRDefault="00C11FF7"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bCs/>
          <w:sz w:val="28"/>
          <w:szCs w:val="28"/>
        </w:rPr>
      </w:pPr>
      <w:r w:rsidRPr="009E4F83">
        <w:rPr>
          <w:b/>
          <w:bCs/>
          <w:sz w:val="28"/>
          <w:szCs w:val="28"/>
        </w:rPr>
        <w:t>1. Mục</w:t>
      </w:r>
      <w:r w:rsidRPr="009E4F83">
        <w:rPr>
          <w:b/>
          <w:bCs/>
          <w:sz w:val="28"/>
          <w:szCs w:val="28"/>
          <w:lang w:val="vi-VN"/>
        </w:rPr>
        <w:t xml:space="preserve"> </w:t>
      </w:r>
      <w:r w:rsidRPr="009E4F83">
        <w:rPr>
          <w:b/>
          <w:bCs/>
          <w:sz w:val="28"/>
          <w:szCs w:val="28"/>
        </w:rPr>
        <w:t>tiêu</w:t>
      </w:r>
    </w:p>
    <w:p w14:paraId="7B8CF160" w14:textId="2FA0341E" w:rsidR="009E4F83" w:rsidRPr="009E4F83" w:rsidRDefault="009E4F83"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pacing w:val="-4"/>
          <w:sz w:val="28"/>
          <w:szCs w:val="28"/>
        </w:rPr>
      </w:pPr>
      <w:r w:rsidRPr="008A64A7">
        <w:rPr>
          <w:bCs/>
          <w:spacing w:val="-4"/>
          <w:sz w:val="28"/>
          <w:szCs w:val="28"/>
        </w:rPr>
        <w:t>Việc xây dựng, ban hành dự án Luật nhằm kịp thời tháo gỡ những khó khăn, vướng mắc cấp thiết về thể chế, pháp luật</w:t>
      </w:r>
      <w:r w:rsidRPr="008A64A7">
        <w:rPr>
          <w:spacing w:val="-4"/>
          <w:sz w:val="28"/>
          <w:szCs w:val="28"/>
        </w:rPr>
        <w:t xml:space="preserve"> </w:t>
      </w:r>
      <w:r w:rsidR="00532FE2" w:rsidRPr="008A64A7">
        <w:rPr>
          <w:spacing w:val="-4"/>
          <w:sz w:val="28"/>
          <w:szCs w:val="28"/>
        </w:rPr>
        <w:t xml:space="preserve">về </w:t>
      </w:r>
      <w:r w:rsidRPr="008A64A7">
        <w:rPr>
          <w:spacing w:val="-4"/>
          <w:sz w:val="28"/>
          <w:szCs w:val="28"/>
          <w:lang w:val="vi-VN"/>
        </w:rPr>
        <w:t>công tác quy hoạch, đầu tư kinh doanh, đầu tư theo phương thức đối tác công tư và hoạt động đấu thầu; đ</w:t>
      </w:r>
      <w:r w:rsidRPr="008A64A7">
        <w:rPr>
          <w:spacing w:val="-4"/>
          <w:sz w:val="28"/>
          <w:szCs w:val="28"/>
        </w:rPr>
        <w:t>ơn giản hóa thủ tục hành chính; tăng cường phân cấp, phân quyền cho địa phương</w:t>
      </w:r>
      <w:r w:rsidRPr="008A64A7">
        <w:rPr>
          <w:spacing w:val="-4"/>
          <w:sz w:val="28"/>
          <w:szCs w:val="28"/>
          <w:lang w:val="vi-VN"/>
        </w:rPr>
        <w:t>.</w:t>
      </w:r>
    </w:p>
    <w:p w14:paraId="77C0F5AB" w14:textId="77777777" w:rsidR="00C11FF7" w:rsidRPr="009E4F83" w:rsidRDefault="00C11FF7"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sz w:val="28"/>
          <w:szCs w:val="28"/>
        </w:rPr>
      </w:pPr>
      <w:r w:rsidRPr="009E4F83">
        <w:rPr>
          <w:b/>
          <w:sz w:val="28"/>
          <w:szCs w:val="28"/>
        </w:rPr>
        <w:t xml:space="preserve">2. Quan điểm </w:t>
      </w:r>
    </w:p>
    <w:p w14:paraId="7A23203E" w14:textId="03795F39" w:rsidR="00C11FF7" w:rsidRPr="009E4F83" w:rsidRDefault="00C11FF7"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vi-VN"/>
        </w:rPr>
      </w:pPr>
      <w:r w:rsidRPr="009E4F83">
        <w:rPr>
          <w:b/>
          <w:bCs/>
          <w:sz w:val="28"/>
          <w:szCs w:val="28"/>
        </w:rPr>
        <w:t>-</w:t>
      </w:r>
      <w:r w:rsidRPr="009E4F83">
        <w:rPr>
          <w:b/>
          <w:bCs/>
          <w:spacing w:val="2"/>
          <w:sz w:val="28"/>
          <w:szCs w:val="28"/>
        </w:rPr>
        <w:t xml:space="preserve"> </w:t>
      </w:r>
      <w:r w:rsidRPr="009E4F83">
        <w:rPr>
          <w:spacing w:val="2"/>
          <w:sz w:val="28"/>
          <w:szCs w:val="28"/>
        </w:rPr>
        <w:t xml:space="preserve">Tập trung sửa đổi, bổ sung một số quy định </w:t>
      </w:r>
      <w:r w:rsidRPr="009E4F83">
        <w:rPr>
          <w:sz w:val="28"/>
          <w:szCs w:val="28"/>
          <w:lang w:val="vi-VN"/>
        </w:rPr>
        <w:t>của các luật có mâu thuẫn, đang gây khó khăn, vướng mắc, yêu cầu cấp bách cần sửa đổi để tạo điều kiện thuận lợi cho hoạt động đầu tư, sản xuất, kinh doanh.</w:t>
      </w:r>
    </w:p>
    <w:p w14:paraId="3098F13F" w14:textId="4A8474AA" w:rsidR="00C11FF7" w:rsidRPr="009E4F83" w:rsidRDefault="00C11FF7"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b/>
          <w:bCs/>
          <w:sz w:val="28"/>
          <w:szCs w:val="28"/>
        </w:rPr>
        <w:t xml:space="preserve">- </w:t>
      </w:r>
      <w:r w:rsidRPr="009E4F83">
        <w:rPr>
          <w:sz w:val="28"/>
          <w:szCs w:val="28"/>
        </w:rPr>
        <w:t>Xác định rõ nội dung, phương án sửa đổi, bổ sung và đánh giá tác động cụ thể; đồng thời, bảo đảm tính độc lập, ổn định, thống nhất, kế thừa được nội dung khi sửa đổi, bổ sung toàn diện các luật.</w:t>
      </w:r>
    </w:p>
    <w:p w14:paraId="5B0BC0C6" w14:textId="77777777" w:rsidR="00C11FF7" w:rsidRPr="009E4F83" w:rsidRDefault="00C11FF7"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2"/>
          <w:sz w:val="28"/>
          <w:szCs w:val="28"/>
        </w:rPr>
      </w:pPr>
      <w:r w:rsidRPr="009E4F83">
        <w:rPr>
          <w:b/>
          <w:bCs/>
          <w:spacing w:val="2"/>
          <w:sz w:val="28"/>
          <w:szCs w:val="28"/>
        </w:rPr>
        <w:t xml:space="preserve">- </w:t>
      </w:r>
      <w:r w:rsidRPr="009E4F83">
        <w:rPr>
          <w:spacing w:val="2"/>
          <w:sz w:val="28"/>
          <w:szCs w:val="28"/>
        </w:rPr>
        <w:t>Đảm bảo tính đồng bộ, thống nhất của hệ thống pháp luật, phù hợp với các điều ước quốc tế mà Việt Nam là thành viên và các thỏa thuận, cam kết của Việt Nam.</w:t>
      </w:r>
    </w:p>
    <w:p w14:paraId="64881936" w14:textId="41DDD7E3" w:rsidR="00D47C1E" w:rsidRPr="009E4F83" w:rsidRDefault="005A46CF"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2"/>
          <w:sz w:val="28"/>
          <w:szCs w:val="28"/>
        </w:rPr>
      </w:pPr>
      <w:r w:rsidRPr="009E4F83">
        <w:rPr>
          <w:b/>
          <w:sz w:val="28"/>
          <w:szCs w:val="28"/>
        </w:rPr>
        <w:t>I</w:t>
      </w:r>
      <w:r w:rsidR="00C9407D" w:rsidRPr="009E4F83">
        <w:rPr>
          <w:b/>
          <w:sz w:val="28"/>
          <w:szCs w:val="28"/>
        </w:rPr>
        <w:t>I</w:t>
      </w:r>
      <w:r w:rsidRPr="009E4F83">
        <w:rPr>
          <w:b/>
          <w:sz w:val="28"/>
          <w:szCs w:val="28"/>
        </w:rPr>
        <w:t>. NỘI DUNG</w:t>
      </w:r>
      <w:r w:rsidR="00C11FF7" w:rsidRPr="009E4F83">
        <w:rPr>
          <w:b/>
          <w:sz w:val="28"/>
          <w:szCs w:val="28"/>
        </w:rPr>
        <w:t xml:space="preserve"> SỬA ĐỔI, BỐ SUNG TẠI DỰ THẢO</w:t>
      </w:r>
      <w:r w:rsidRPr="009E4F83">
        <w:rPr>
          <w:b/>
          <w:sz w:val="28"/>
          <w:szCs w:val="28"/>
        </w:rPr>
        <w:t xml:space="preserve"> LUẬT</w:t>
      </w:r>
    </w:p>
    <w:p w14:paraId="005A0BE7"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sz w:val="28"/>
          <w:szCs w:val="28"/>
        </w:rPr>
      </w:pPr>
      <w:r w:rsidRPr="009E4F83">
        <w:rPr>
          <w:b/>
          <w:sz w:val="28"/>
          <w:szCs w:val="28"/>
        </w:rPr>
        <w:t>1. Về sửa đổi Luật Quy hoạch</w:t>
      </w:r>
    </w:p>
    <w:p w14:paraId="19875FD5"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t xml:space="preserve">- Sửa đổi, bổ sung Điều 5, Điều 6, Phụ lục II của Luật Quy hoạch để quy định quy hoạch đô thị và nông thôn là một loại quy hoạch có tính chất kỹ thuật, chuyên ngành; đồng thời bổ sung quy hoạch có tính chất kỹ thuật, chuyên ngành vào hệ thống quy hoạch quốc gia và quy định rõ mối quan hệ giữa các quy hoạch thuộc hệ thống quy hoạch quốc gia; nhằm bảo đảm sự thống nhất, đồng bộ, thứ bậc của hệ thống quy hoạch. </w:t>
      </w:r>
    </w:p>
    <w:p w14:paraId="797429B8"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lang w:val="vi-VN"/>
        </w:rPr>
      </w:pPr>
      <w:r w:rsidRPr="009E4F83">
        <w:rPr>
          <w:sz w:val="28"/>
          <w:szCs w:val="28"/>
        </w:rPr>
        <w:lastRenderedPageBreak/>
        <w:t>- Sửa đổi, bổ sung Điều 9 Luật Quy hoạch để cho phép sử dụng nguồn vốn đầu tư công, nguồn chi thường xuyên</w:t>
      </w:r>
      <w:r w:rsidRPr="009E4F83">
        <w:rPr>
          <w:b/>
          <w:bCs/>
          <w:sz w:val="28"/>
          <w:szCs w:val="28"/>
        </w:rPr>
        <w:t xml:space="preserve"> </w:t>
      </w:r>
      <w:r w:rsidRPr="009E4F83">
        <w:rPr>
          <w:sz w:val="28"/>
          <w:szCs w:val="28"/>
        </w:rPr>
        <w:t>và các nguồn vốn hợp pháp khác</w:t>
      </w:r>
      <w:r w:rsidRPr="009E4F83">
        <w:rPr>
          <w:bCs/>
          <w:sz w:val="28"/>
          <w:szCs w:val="28"/>
        </w:rPr>
        <w:t xml:space="preserve"> cho hoạt động quy hoạch để tạo cơ chế linh hoạt khi sử dụng ngân sách nhà nước, phù hợp với tính chất của từng loại quy hoạch, trong đó, bổ sung quy định về nguồn vốn cho việc lập, thẩm định, công bố, đánh giá và điều chỉnh quy hoạch có tính chất kỹ thuật, chuyên ngành.</w:t>
      </w:r>
    </w:p>
    <w:p w14:paraId="78718104"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t xml:space="preserve">- Sửa đổi quy định tại khoản 2 Điều 15 Luật Quy hoạch để phân quyền tổ chức thẩm định nhiệm vụ lập quy hoạch tỉnh của Thủ tướng Chính phủ cho Bộ trưởng Bộ Kế hoạch và Đầu tư để đơn giản hóa trình tự, thủ tục lập quy hoạch. </w:t>
      </w:r>
    </w:p>
    <w:p w14:paraId="356F6E90"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lang w:val="vi-VN"/>
        </w:rPr>
      </w:pPr>
      <w:r w:rsidRPr="009E4F83">
        <w:rPr>
          <w:sz w:val="28"/>
          <w:szCs w:val="28"/>
        </w:rPr>
        <w:t>- Sửa đổi, bổ sung quy định tại điểm b, c, d khoản 1 và điểm b, c, d khoản 3 Điều 16 để đơn giản hóa quy trình lập quy hoạch, tránh trùng lặp và rút ngắn thời gian lập quy hoạch; đồng thời quy định cụ thể về sự tham gia, phối hợp đồng bộ của các cơ quan liên quan trong quá trình lập và thẩm định quy hoạch.</w:t>
      </w:r>
    </w:p>
    <w:p w14:paraId="0EF16AC0"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bCs/>
          <w:sz w:val="28"/>
          <w:szCs w:val="28"/>
        </w:rPr>
        <w:t>- Sửa đổi, bổ sung quy định về “Danh mục dự án” tại các Điều 22, 23, 25, 26 và 27 thành “Danh mục dự kiến các dự án quan trọng quốc gia”</w:t>
      </w:r>
      <w:r w:rsidRPr="009E4F83">
        <w:rPr>
          <w:bCs/>
          <w:sz w:val="28"/>
          <w:szCs w:val="28"/>
          <w:lang w:val="vi-VN"/>
        </w:rPr>
        <w:t xml:space="preserve"> </w:t>
      </w:r>
      <w:r w:rsidRPr="009E4F83">
        <w:rPr>
          <w:bCs/>
          <w:sz w:val="28"/>
          <w:szCs w:val="28"/>
        </w:rPr>
        <w:t>trong các quy hoạch cấp quốc gia; quy ho</w:t>
      </w:r>
      <w:r w:rsidRPr="009E4F83">
        <w:rPr>
          <w:bCs/>
          <w:sz w:val="28"/>
          <w:szCs w:val="28"/>
          <w:lang w:val="vi-VN"/>
        </w:rPr>
        <w:t>ạ</w:t>
      </w:r>
      <w:r w:rsidRPr="009E4F83">
        <w:rPr>
          <w:bCs/>
          <w:sz w:val="28"/>
          <w:szCs w:val="28"/>
        </w:rPr>
        <w:t>ch vùng; “Danh mục dự kiến các dự án ưu tiên” trong quy hoạch tỉnh để bảo đảm tính khả thi và định hướng dài hạn của quy hoạch quốc gia, quy hoạch vùng, quy hoạch tỉnh; tránh phải điều chỉnh quy hoạch nhiều lần, gây khó khăn cho hoạt động đầu tư, kinh doanh.</w:t>
      </w:r>
    </w:p>
    <w:p w14:paraId="5E98F275"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bCs/>
          <w:sz w:val="28"/>
          <w:szCs w:val="28"/>
        </w:rPr>
        <w:t>- Sửa đổi, bổ sung quy định tại Điều 45 theo hướng bỏ quy định “kế hoạch sử dụng đất” là một nội dung của kế hoạch thực hiện quy hoạch để tránh trùng lặp với kế hoạch sử dụng đất được lập theo quy định của pháp luật về đất đai.</w:t>
      </w:r>
    </w:p>
    <w:p w14:paraId="2C9A60E0"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bCs/>
          <w:sz w:val="28"/>
          <w:szCs w:val="28"/>
        </w:rPr>
        <w:t>- Sửa đổi Điều 49 để gộp nội dung “rà soát quy hoạch định kỳ 05 năm” tại Điều 52 vào nội dung “đánh giá thực hiện quy hoạch định kỳ” tại Điều 49 để tránh trùng lặp, đơn giản hoá chế độ báo cáo, tiết kiệm thời gian và nguồn lực thực hiện.</w:t>
      </w:r>
    </w:p>
    <w:p w14:paraId="39833A35"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vi-VN"/>
        </w:rPr>
      </w:pPr>
      <w:r w:rsidRPr="009E4F83">
        <w:rPr>
          <w:sz w:val="28"/>
          <w:szCs w:val="28"/>
          <w:lang w:val="vi-VN"/>
        </w:rPr>
        <w:t xml:space="preserve">- </w:t>
      </w:r>
      <w:r w:rsidRPr="009E4F83">
        <w:rPr>
          <w:sz w:val="28"/>
          <w:szCs w:val="28"/>
        </w:rPr>
        <w:t xml:space="preserve">Bổ sung quy định tại Điều 54a về điều chỉnh quy hoạch theo trình tự, thủ tục rút gọn </w:t>
      </w:r>
      <w:r w:rsidRPr="009E4F83">
        <w:rPr>
          <w:sz w:val="28"/>
          <w:szCs w:val="28"/>
          <w:lang w:val="vi-VN"/>
        </w:rPr>
        <w:t>đ</w:t>
      </w:r>
      <w:r w:rsidRPr="009E4F83">
        <w:rPr>
          <w:sz w:val="28"/>
          <w:szCs w:val="28"/>
        </w:rPr>
        <w:t>ể đáp ứng yêu cầu điều chỉnh quy hoạch trong những trường hợp cấp bách</w:t>
      </w:r>
      <w:r w:rsidRPr="009E4F83">
        <w:rPr>
          <w:sz w:val="28"/>
          <w:szCs w:val="28"/>
          <w:lang w:val="vi-VN"/>
        </w:rPr>
        <w:t xml:space="preserve"> </w:t>
      </w:r>
      <w:r w:rsidRPr="009E4F83">
        <w:rPr>
          <w:sz w:val="28"/>
          <w:szCs w:val="28"/>
        </w:rPr>
        <w:t>(</w:t>
      </w:r>
      <w:r w:rsidRPr="009E4F83">
        <w:rPr>
          <w:i/>
          <w:iCs/>
          <w:sz w:val="28"/>
          <w:szCs w:val="28"/>
        </w:rPr>
        <w:t>theo đó, không phải lập, phê duyệt nhiệm vụ điều chỉnh quy hoạch; không phải thành lập Hội đồng thẩm định điều chỉnh quy hoạch</w:t>
      </w:r>
      <w:r w:rsidRPr="009E4F83">
        <w:rPr>
          <w:sz w:val="28"/>
          <w:szCs w:val="28"/>
        </w:rPr>
        <w:t>…)</w:t>
      </w:r>
      <w:r w:rsidRPr="009E4F83">
        <w:rPr>
          <w:sz w:val="28"/>
          <w:szCs w:val="28"/>
          <w:lang w:val="vi-VN"/>
        </w:rPr>
        <w:t>, trong đó:</w:t>
      </w:r>
    </w:p>
    <w:p w14:paraId="7A5CCC02"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sz w:val="28"/>
          <w:szCs w:val="28"/>
          <w:lang w:val="vi-VN"/>
        </w:rPr>
        <w:t xml:space="preserve">+ </w:t>
      </w:r>
      <w:r w:rsidRPr="009E4F83">
        <w:rPr>
          <w:spacing w:val="-10"/>
          <w:sz w:val="28"/>
          <w:szCs w:val="28"/>
          <w:lang w:val="vi-VN"/>
        </w:rPr>
        <w:t>V</w:t>
      </w:r>
      <w:r w:rsidRPr="009E4F83">
        <w:rPr>
          <w:bCs/>
          <w:sz w:val="28"/>
          <w:szCs w:val="28"/>
        </w:rPr>
        <w:t>iệc điều chỉnh quy hoạch theo trình tự, thủ tục rút gọn phải không làm thay đổi quan điểm, mục tiêu quy hoạch, bảo đảm tính liên kết, đồng bộ, kế thừa, ổn định và hệ thống giữa các quy hoạch.</w:t>
      </w:r>
    </w:p>
    <w:p w14:paraId="550B50E0"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4"/>
          <w:sz w:val="28"/>
          <w:szCs w:val="28"/>
        </w:rPr>
      </w:pPr>
      <w:r w:rsidRPr="009E4F83">
        <w:rPr>
          <w:spacing w:val="-4"/>
          <w:sz w:val="28"/>
          <w:szCs w:val="28"/>
          <w:lang w:val="vi-VN"/>
        </w:rPr>
        <w:t xml:space="preserve">+ </w:t>
      </w:r>
      <w:r w:rsidRPr="009E4F83">
        <w:rPr>
          <w:spacing w:val="-4"/>
          <w:sz w:val="28"/>
          <w:szCs w:val="28"/>
        </w:rPr>
        <w:t>Xác định rõ 04 trường hợp được điều chỉnh theo thủ tục rút gọn, bao gồm:</w:t>
      </w:r>
      <w:r w:rsidRPr="009E4F83">
        <w:rPr>
          <w:spacing w:val="-4"/>
          <w:sz w:val="28"/>
          <w:szCs w:val="28"/>
          <w:lang w:val="vi-VN"/>
        </w:rPr>
        <w:t xml:space="preserve"> </w:t>
      </w:r>
      <w:r w:rsidRPr="009E4F83">
        <w:rPr>
          <w:spacing w:val="-4"/>
          <w:sz w:val="28"/>
          <w:szCs w:val="28"/>
        </w:rPr>
        <w:t>a) để thực hiện các Nghị quyết của Quốc hội, Ủy ban Thường vụ Quốc hội, Chính phủ (</w:t>
      </w:r>
      <w:r w:rsidRPr="009E4F83">
        <w:rPr>
          <w:i/>
          <w:spacing w:val="-4"/>
          <w:sz w:val="28"/>
          <w:szCs w:val="28"/>
        </w:rPr>
        <w:t>như việc sắp xếp đơn vị hành chính và thực hiện các dự án quan trọng quốc gia...</w:t>
      </w:r>
      <w:r w:rsidRPr="009E4F83">
        <w:rPr>
          <w:spacing w:val="-4"/>
          <w:sz w:val="28"/>
          <w:szCs w:val="28"/>
        </w:rPr>
        <w:t>)</w:t>
      </w:r>
      <w:r w:rsidRPr="009E4F83">
        <w:rPr>
          <w:i/>
          <w:iCs/>
          <w:sz w:val="28"/>
          <w:szCs w:val="28"/>
        </w:rPr>
        <w:t xml:space="preserve">; </w:t>
      </w:r>
      <w:r w:rsidRPr="009E4F83">
        <w:rPr>
          <w:i/>
          <w:iCs/>
          <w:sz w:val="28"/>
          <w:szCs w:val="28"/>
          <w:lang w:val="vi-VN"/>
        </w:rPr>
        <w:t xml:space="preserve">b) Quy hoạch </w:t>
      </w:r>
      <w:r w:rsidRPr="009E4F83">
        <w:rPr>
          <w:i/>
          <w:iCs/>
          <w:sz w:val="28"/>
          <w:szCs w:val="28"/>
        </w:rPr>
        <w:t xml:space="preserve">có </w:t>
      </w:r>
      <w:r w:rsidRPr="009E4F83">
        <w:rPr>
          <w:i/>
          <w:iCs/>
          <w:sz w:val="28"/>
          <w:szCs w:val="28"/>
          <w:lang w:val="vi-VN"/>
        </w:rPr>
        <w:t xml:space="preserve">mâu thuẫn với quy hoạch cao hơn; c) Quy hoạch </w:t>
      </w:r>
      <w:r w:rsidRPr="009E4F83">
        <w:rPr>
          <w:i/>
          <w:iCs/>
          <w:sz w:val="28"/>
          <w:szCs w:val="28"/>
        </w:rPr>
        <w:t xml:space="preserve">có </w:t>
      </w:r>
      <w:r w:rsidRPr="009E4F83">
        <w:rPr>
          <w:i/>
          <w:iCs/>
          <w:sz w:val="28"/>
          <w:szCs w:val="28"/>
          <w:lang w:val="vi-VN"/>
        </w:rPr>
        <w:t>mâu thuẫn với quy hoạch cùng cấp</w:t>
      </w:r>
      <w:r w:rsidRPr="009E4F83">
        <w:rPr>
          <w:i/>
          <w:iCs/>
          <w:sz w:val="28"/>
          <w:szCs w:val="28"/>
        </w:rPr>
        <w:t>;…</w:t>
      </w:r>
    </w:p>
    <w:p w14:paraId="2E2A8DCC" w14:textId="77777777"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4"/>
          <w:sz w:val="28"/>
          <w:szCs w:val="28"/>
        </w:rPr>
      </w:pPr>
      <w:r w:rsidRPr="009E4F83">
        <w:rPr>
          <w:spacing w:val="-4"/>
          <w:sz w:val="28"/>
          <w:szCs w:val="28"/>
        </w:rPr>
        <w:t>- Sửa đổi quy định tại khoản 1 Điều 56 theo hướng phân quyền cho Ủy ban nhân dân cấp tỉnh ban hành kế hoạch thực hiện quy hoạch tỉnh để đề cao trách nhiệm, tính chủ động, linh hoạt của cấp tỉnh trong tổ chức thực hiện quy hoạch tỉnh.</w:t>
      </w:r>
    </w:p>
    <w:p w14:paraId="745681BE"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spacing w:val="-4"/>
          <w:sz w:val="28"/>
          <w:szCs w:val="28"/>
        </w:rPr>
      </w:pPr>
      <w:r w:rsidRPr="009E4F83">
        <w:rPr>
          <w:b/>
          <w:spacing w:val="-4"/>
          <w:sz w:val="28"/>
          <w:szCs w:val="28"/>
        </w:rPr>
        <w:lastRenderedPageBreak/>
        <w:t>2. Về sửa đổi Luật Đầu tư</w:t>
      </w:r>
    </w:p>
    <w:p w14:paraId="35BC460B" w14:textId="1FBFBB66"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6"/>
          <w:sz w:val="28"/>
          <w:szCs w:val="28"/>
        </w:rPr>
      </w:pPr>
      <w:r w:rsidRPr="009E4F83">
        <w:rPr>
          <w:spacing w:val="-6"/>
          <w:sz w:val="28"/>
          <w:szCs w:val="28"/>
          <w:lang w:val="vi-VN"/>
        </w:rPr>
        <w:t xml:space="preserve">- </w:t>
      </w:r>
      <w:r w:rsidRPr="009E4F83">
        <w:rPr>
          <w:spacing w:val="-6"/>
          <w:sz w:val="28"/>
          <w:szCs w:val="28"/>
        </w:rPr>
        <w:t>Sửa đổi Điều 31</w:t>
      </w:r>
      <w:r w:rsidRPr="009E4F83">
        <w:rPr>
          <w:spacing w:val="-6"/>
          <w:sz w:val="28"/>
          <w:szCs w:val="28"/>
          <w:lang w:val="vi-VN"/>
        </w:rPr>
        <w:t>, 32</w:t>
      </w:r>
      <w:r w:rsidRPr="009E4F83">
        <w:rPr>
          <w:spacing w:val="-6"/>
          <w:sz w:val="28"/>
          <w:szCs w:val="28"/>
        </w:rPr>
        <w:t xml:space="preserve"> Luật Đầu tư để</w:t>
      </w:r>
      <w:r w:rsidRPr="009E4F83">
        <w:rPr>
          <w:spacing w:val="-6"/>
          <w:sz w:val="28"/>
          <w:szCs w:val="28"/>
          <w:lang w:val="vi-VN"/>
        </w:rPr>
        <w:t xml:space="preserve"> </w:t>
      </w:r>
      <w:r w:rsidRPr="009E4F83">
        <w:rPr>
          <w:spacing w:val="-6"/>
          <w:sz w:val="28"/>
          <w:szCs w:val="28"/>
        </w:rPr>
        <w:t>phân quyền chấp thuận chủ trương đầu tư của Thủ tướng Chính phủ cho UBND cấp tỉnh đối với</w:t>
      </w:r>
      <w:r w:rsidR="00363351" w:rsidRPr="009E4F83">
        <w:rPr>
          <w:spacing w:val="-6"/>
          <w:sz w:val="28"/>
          <w:szCs w:val="28"/>
        </w:rPr>
        <w:t>:</w:t>
      </w:r>
      <w:r w:rsidRPr="009E4F83">
        <w:rPr>
          <w:spacing w:val="-6"/>
          <w:sz w:val="28"/>
          <w:szCs w:val="28"/>
        </w:rPr>
        <w:t xml:space="preserve"> (i) dự án đầu tư xây dựng và kinh doanh kết hạ tầng KCN, KCX</w:t>
      </w:r>
      <w:r w:rsidR="00363351" w:rsidRPr="009E4F83">
        <w:rPr>
          <w:spacing w:val="-6"/>
          <w:sz w:val="28"/>
          <w:szCs w:val="28"/>
        </w:rPr>
        <w:t>;</w:t>
      </w:r>
      <w:r w:rsidRPr="009E4F83">
        <w:rPr>
          <w:spacing w:val="-6"/>
          <w:sz w:val="28"/>
          <w:szCs w:val="28"/>
        </w:rPr>
        <w:t xml:space="preserve"> (ii) Dự án đầu tư xây dựng mới bến cảng, khu bến cảng có quy mô vốn đầu tư dưới 2.300 tỷ đồng thuộc cảng biển đặc biệt</w:t>
      </w:r>
      <w:r w:rsidR="00363351" w:rsidRPr="009E4F83">
        <w:rPr>
          <w:spacing w:val="-6"/>
          <w:sz w:val="28"/>
          <w:szCs w:val="28"/>
        </w:rPr>
        <w:t xml:space="preserve"> và</w:t>
      </w:r>
      <w:r w:rsidR="00463739" w:rsidRPr="009E4F83">
        <w:rPr>
          <w:spacing w:val="-6"/>
          <w:sz w:val="28"/>
          <w:szCs w:val="28"/>
        </w:rPr>
        <w:t xml:space="preserve"> iii) Dự án đầu tư không phân biệt quy mô thuộc phạm vi bảo vệ của khu vực I và khu vực II của di tích được cấp có thẩm quyền công nhận là di tích quốc gia, di tích quốc gia đặc biệt, trừ các dự án đầu tư thuộc khu vực bảo vệ I của di tích quốc gia đặc biệt thuộc Danh mục di sản thế giới </w:t>
      </w:r>
      <w:r w:rsidRPr="009E4F83">
        <w:rPr>
          <w:spacing w:val="-6"/>
          <w:sz w:val="28"/>
          <w:szCs w:val="28"/>
        </w:rPr>
        <w:t>nhằm tạo chủ động cho các địa phương.</w:t>
      </w:r>
    </w:p>
    <w:p w14:paraId="12D7DCC1" w14:textId="2F5128C5"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Cs/>
          <w:spacing w:val="-4"/>
          <w:sz w:val="28"/>
          <w:szCs w:val="28"/>
          <w:lang w:val="vi-VN"/>
        </w:rPr>
      </w:pPr>
      <w:r w:rsidRPr="009E4F83">
        <w:rPr>
          <w:spacing w:val="-6"/>
          <w:sz w:val="28"/>
          <w:szCs w:val="28"/>
          <w:lang w:val="vi-VN"/>
        </w:rPr>
        <w:t xml:space="preserve">- </w:t>
      </w:r>
      <w:r w:rsidRPr="009E4F83">
        <w:rPr>
          <w:spacing w:val="-4"/>
          <w:sz w:val="28"/>
          <w:szCs w:val="28"/>
        </w:rPr>
        <w:t>Sửa</w:t>
      </w:r>
      <w:r w:rsidRPr="009E4F83">
        <w:rPr>
          <w:spacing w:val="-4"/>
          <w:sz w:val="28"/>
          <w:szCs w:val="28"/>
          <w:lang w:val="vi-VN"/>
        </w:rPr>
        <w:t xml:space="preserve"> đổi, bổ sung quy định tại Điều 33 Luật Đầu tư để quy định</w:t>
      </w:r>
      <w:r w:rsidRPr="009E4F83">
        <w:rPr>
          <w:spacing w:val="-4"/>
          <w:sz w:val="28"/>
          <w:szCs w:val="28"/>
        </w:rPr>
        <w:t>:</w:t>
      </w:r>
      <w:r w:rsidRPr="009E4F83">
        <w:rPr>
          <w:spacing w:val="-4"/>
          <w:sz w:val="28"/>
          <w:szCs w:val="28"/>
          <w:lang w:val="vi-VN"/>
        </w:rPr>
        <w:t xml:space="preserve"> đ</w:t>
      </w:r>
      <w:r w:rsidRPr="009E4F83">
        <w:rPr>
          <w:iCs/>
          <w:spacing w:val="-4"/>
          <w:sz w:val="28"/>
          <w:szCs w:val="28"/>
        </w:rPr>
        <w:t>ối với quy hoạch đô thị, nội dung thẩm định phải có đánh giá về sự phù hợp của dự án đầu tư với quy hoạch phân khu; trường hợp dự án được đề xuất tại khu vực không phải lập quy hoạch phân khu theo quy định của pháp luật về quy hoạch đô thị hoặc quy hoạch phân khu phải điều chỉnh và chưa được cấp có thẩm quyền phê duyệt thì đánh giá sự phù hợp của dự án đầu tư với quy hoạch chung</w:t>
      </w:r>
      <w:r w:rsidRPr="009E4F83">
        <w:rPr>
          <w:iCs/>
          <w:spacing w:val="-4"/>
          <w:sz w:val="28"/>
          <w:szCs w:val="28"/>
          <w:lang w:val="vi-VN"/>
        </w:rPr>
        <w:t>.</w:t>
      </w:r>
    </w:p>
    <w:p w14:paraId="7E3C99E6"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Cs/>
          <w:sz w:val="28"/>
          <w:szCs w:val="28"/>
          <w:lang w:val="vi-VN"/>
        </w:rPr>
      </w:pPr>
      <w:r w:rsidRPr="009E4F83">
        <w:rPr>
          <w:bCs/>
          <w:i/>
          <w:iCs/>
          <w:sz w:val="28"/>
          <w:szCs w:val="28"/>
          <w:lang w:val="vi-VN"/>
        </w:rPr>
        <w:t>-</w:t>
      </w:r>
      <w:r w:rsidRPr="009E4F83">
        <w:rPr>
          <w:iCs/>
          <w:sz w:val="28"/>
          <w:szCs w:val="28"/>
          <w:lang w:val="vi-VN"/>
        </w:rPr>
        <w:t xml:space="preserve"> Bổ sung quy định tại khoản 3 Điều 18 Luật Đầu tư để </w:t>
      </w:r>
      <w:r w:rsidRPr="009E4F83">
        <w:rPr>
          <w:sz w:val="28"/>
          <w:szCs w:val="28"/>
          <w:lang w:val="vi-VN"/>
        </w:rPr>
        <w:t>q</w:t>
      </w:r>
      <w:r w:rsidRPr="009E4F83">
        <w:rPr>
          <w:sz w:val="28"/>
          <w:szCs w:val="28"/>
        </w:rPr>
        <w:t xml:space="preserve">uy định về </w:t>
      </w:r>
      <w:r w:rsidRPr="009E4F83">
        <w:rPr>
          <w:iCs/>
          <w:sz w:val="28"/>
          <w:szCs w:val="28"/>
          <w:lang w:val="vi-VN"/>
        </w:rPr>
        <w:t>thành lập Quỹ Hỗ trợ đầu tư từ nguồn ngân sách nhà nước và các nguồn thu hợp pháp khác để thu hút nhà đầu tư chiến lược, tập đoàn đa quốc gia và hỗ trợ doanh nghiệp đối với một số ngành, nghề ưu đãi đầu tư.</w:t>
      </w:r>
    </w:p>
    <w:p w14:paraId="75E8F8D3"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vi-VN"/>
        </w:rPr>
      </w:pPr>
      <w:r w:rsidRPr="009E4F83">
        <w:rPr>
          <w:sz w:val="28"/>
          <w:szCs w:val="28"/>
          <w:lang w:val="vi-VN"/>
        </w:rPr>
        <w:t>-</w:t>
      </w:r>
      <w:r w:rsidRPr="009E4F83">
        <w:rPr>
          <w:sz w:val="28"/>
          <w:szCs w:val="28"/>
        </w:rPr>
        <w:t xml:space="preserve"> </w:t>
      </w:r>
      <w:r w:rsidRPr="009E4F83">
        <w:rPr>
          <w:sz w:val="28"/>
          <w:szCs w:val="28"/>
          <w:lang w:val="vi-VN"/>
        </w:rPr>
        <w:t>Sửa đổi, bổ sung Điều 47 và</w:t>
      </w:r>
      <w:r w:rsidRPr="009E4F83">
        <w:rPr>
          <w:sz w:val="28"/>
          <w:szCs w:val="28"/>
        </w:rPr>
        <w:t xml:space="preserve"> Điều 48 </w:t>
      </w:r>
      <w:bookmarkStart w:id="2" w:name="diem_g_1_48"/>
      <w:r w:rsidRPr="009E4F83">
        <w:rPr>
          <w:sz w:val="28"/>
          <w:szCs w:val="28"/>
        </w:rPr>
        <w:t>để</w:t>
      </w:r>
      <w:r w:rsidRPr="009E4F83">
        <w:rPr>
          <w:sz w:val="28"/>
          <w:szCs w:val="28"/>
          <w:lang w:val="vi-VN"/>
        </w:rPr>
        <w:t xml:space="preserve"> quy định </w:t>
      </w:r>
      <w:bookmarkEnd w:id="2"/>
      <w:r w:rsidRPr="009E4F83">
        <w:rPr>
          <w:sz w:val="28"/>
          <w:szCs w:val="28"/>
        </w:rPr>
        <w:t xml:space="preserve">về </w:t>
      </w:r>
      <w:r w:rsidRPr="009E4F83">
        <w:rPr>
          <w:b/>
          <w:bCs/>
          <w:sz w:val="28"/>
          <w:szCs w:val="28"/>
        </w:rPr>
        <w:t xml:space="preserve">chấm dứt hoạt động đối với các dự án đầu tư không được triển khai thực hiện trong </w:t>
      </w:r>
      <w:r w:rsidRPr="009E4F83">
        <w:rPr>
          <w:sz w:val="28"/>
          <w:szCs w:val="28"/>
        </w:rPr>
        <w:t>nhiều năm, gây lãng phí đất đai</w:t>
      </w:r>
      <w:r w:rsidRPr="009E4F83">
        <w:rPr>
          <w:sz w:val="28"/>
          <w:szCs w:val="28"/>
          <w:lang w:val="vi-VN"/>
        </w:rPr>
        <w:t>, giải phóng nguồn lực.</w:t>
      </w:r>
    </w:p>
    <w:p w14:paraId="059EA2A1" w14:textId="0101A5F1"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6"/>
          <w:sz w:val="28"/>
          <w:szCs w:val="28"/>
          <w:lang w:val="vi-VN"/>
        </w:rPr>
      </w:pPr>
      <w:r w:rsidRPr="009E4F83">
        <w:rPr>
          <w:spacing w:val="-6"/>
          <w:sz w:val="28"/>
          <w:szCs w:val="28"/>
          <w:lang w:val="vi-VN"/>
        </w:rPr>
        <w:t>- Bổ sung quy định về</w:t>
      </w:r>
      <w:r w:rsidRPr="009E4F83">
        <w:rPr>
          <w:i/>
          <w:iCs/>
          <w:spacing w:val="-6"/>
          <w:sz w:val="28"/>
          <w:szCs w:val="28"/>
        </w:rPr>
        <w:t xml:space="preserve"> thủ tục đầu tư đặc biệt</w:t>
      </w:r>
      <w:r w:rsidRPr="009E4F83">
        <w:rPr>
          <w:spacing w:val="-6"/>
          <w:sz w:val="28"/>
          <w:szCs w:val="28"/>
          <w:lang w:val="vi-VN"/>
        </w:rPr>
        <w:t xml:space="preserve"> </w:t>
      </w:r>
      <w:r w:rsidR="00C11FF7" w:rsidRPr="009E4F83">
        <w:rPr>
          <w:spacing w:val="-6"/>
          <w:sz w:val="28"/>
          <w:szCs w:val="28"/>
        </w:rPr>
        <w:t>nhằm</w:t>
      </w:r>
      <w:r w:rsidRPr="009E4F83">
        <w:rPr>
          <w:iCs/>
          <w:sz w:val="28"/>
          <w:szCs w:val="28"/>
          <w:lang w:val="vi-VN"/>
        </w:rPr>
        <w:t xml:space="preserve"> đơn giản hoá thủ tục đầu tư, rút ngắn thời gian triển khai dự án để </w:t>
      </w:r>
      <w:r w:rsidRPr="009E4F83">
        <w:rPr>
          <w:iCs/>
          <w:sz w:val="28"/>
          <w:szCs w:val="28"/>
        </w:rPr>
        <w:t xml:space="preserve">tạo cơ chế thuận lợi, cạnh tranh nhằm </w:t>
      </w:r>
      <w:r w:rsidRPr="009E4F83">
        <w:rPr>
          <w:iCs/>
          <w:sz w:val="28"/>
          <w:szCs w:val="28"/>
          <w:lang w:val="vi-VN"/>
        </w:rPr>
        <w:t xml:space="preserve">thu hút các nhà đầu tư chiến lược. Theo đó, </w:t>
      </w:r>
      <w:r w:rsidRPr="009E4F83">
        <w:rPr>
          <w:spacing w:val="-4"/>
          <w:sz w:val="28"/>
          <w:szCs w:val="28"/>
        </w:rPr>
        <w:t>thủ tục đầu tư đặc biệt áp dụng đối với một số dự án thuộc lĩnh vực</w:t>
      </w:r>
      <w:r w:rsidRPr="009E4F83">
        <w:rPr>
          <w:i/>
          <w:iCs/>
          <w:spacing w:val="-4"/>
          <w:sz w:val="28"/>
          <w:szCs w:val="28"/>
        </w:rPr>
        <w:t xml:space="preserve"> đổi mới sáng tạo, nghiên cứu và phát triển; công nghiệp mạch tích hợp bán dẫn, công nghệ thiết kế, chế tạo linh kiện, vi mạch điện tử tích hợp, chip, và </w:t>
      </w:r>
      <w:r w:rsidRPr="009E4F83">
        <w:rPr>
          <w:b/>
          <w:bCs/>
          <w:i/>
          <w:iCs/>
          <w:spacing w:val="-4"/>
          <w:sz w:val="28"/>
          <w:szCs w:val="28"/>
        </w:rPr>
        <w:t>lĩnh vực công nghệ cao</w:t>
      </w:r>
      <w:r w:rsidRPr="009E4F83">
        <w:rPr>
          <w:i/>
          <w:iCs/>
          <w:spacing w:val="-4"/>
          <w:sz w:val="28"/>
          <w:szCs w:val="28"/>
        </w:rPr>
        <w:t>, sản phẩm công nghệ cao</w:t>
      </w:r>
      <w:r w:rsidRPr="009E4F83">
        <w:rPr>
          <w:b/>
          <w:bCs/>
          <w:i/>
          <w:iCs/>
          <w:spacing w:val="-4"/>
          <w:sz w:val="28"/>
          <w:szCs w:val="28"/>
        </w:rPr>
        <w:t xml:space="preserve"> </w:t>
      </w:r>
      <w:r w:rsidRPr="009E4F83">
        <w:rPr>
          <w:i/>
          <w:iCs/>
          <w:spacing w:val="-4"/>
          <w:sz w:val="28"/>
          <w:szCs w:val="28"/>
        </w:rPr>
        <w:t>được ưu tiên, khuyến khích đầu tư theo quyết định của Thủ tướng Chính phủ</w:t>
      </w:r>
      <w:r w:rsidRPr="009E4F83">
        <w:rPr>
          <w:spacing w:val="-4"/>
          <w:sz w:val="28"/>
          <w:szCs w:val="28"/>
          <w:lang w:val="vi-VN"/>
        </w:rPr>
        <w:t xml:space="preserve"> thực hiện </w:t>
      </w:r>
      <w:r w:rsidRPr="009E4F83">
        <w:rPr>
          <w:spacing w:val="-4"/>
          <w:sz w:val="28"/>
          <w:szCs w:val="28"/>
        </w:rPr>
        <w:t xml:space="preserve">tại khu công nghiệp, khu chế xuất, khu công nghệ cao và khu kinh tế theo quy trình </w:t>
      </w:r>
      <w:r w:rsidRPr="009E4F83">
        <w:rPr>
          <w:b/>
          <w:iCs/>
          <w:sz w:val="28"/>
          <w:szCs w:val="28"/>
          <w:lang w:val="vi-VN"/>
        </w:rPr>
        <w:t>đăng ký đầu tư</w:t>
      </w:r>
      <w:r w:rsidRPr="009E4F83">
        <w:rPr>
          <w:sz w:val="28"/>
          <w:szCs w:val="28"/>
        </w:rPr>
        <w:t xml:space="preserve"> tại Ban quản lý các</w:t>
      </w:r>
      <w:r w:rsidRPr="009E4F83">
        <w:rPr>
          <w:b/>
          <w:sz w:val="28"/>
          <w:szCs w:val="28"/>
        </w:rPr>
        <w:t xml:space="preserve"> </w:t>
      </w:r>
      <w:r w:rsidRPr="009E4F83">
        <w:rPr>
          <w:spacing w:val="-4"/>
          <w:sz w:val="28"/>
          <w:szCs w:val="28"/>
        </w:rPr>
        <w:t>khu công nghiệp, khu chế xuất, khu công nghệ cao, khu kinh tế để cấp Giấy chứng nhận đăng ký đầu tư trong thời hạn 15 ngày.</w:t>
      </w:r>
    </w:p>
    <w:p w14:paraId="31D1A439" w14:textId="6B9ADF4F"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4"/>
          <w:sz w:val="28"/>
          <w:szCs w:val="28"/>
        </w:rPr>
      </w:pPr>
      <w:r w:rsidRPr="009E4F83">
        <w:rPr>
          <w:spacing w:val="-4"/>
          <w:sz w:val="28"/>
          <w:szCs w:val="28"/>
        </w:rPr>
        <w:t xml:space="preserve">Chuyển từ tiền kiểm sang hậu kiểm, giảm thủ tục hành chính liên quan, trong đó nhà đầu tư không phải thực hiện một số thủ tục để được cấp phép, chấp thuận hoặc phê duyệt trong </w:t>
      </w:r>
      <w:r w:rsidR="00C32B4A" w:rsidRPr="009E4F83">
        <w:rPr>
          <w:spacing w:val="-4"/>
          <w:sz w:val="28"/>
          <w:szCs w:val="28"/>
        </w:rPr>
        <w:t>0</w:t>
      </w:r>
      <w:r w:rsidRPr="009E4F83">
        <w:rPr>
          <w:spacing w:val="-4"/>
          <w:sz w:val="28"/>
          <w:szCs w:val="28"/>
        </w:rPr>
        <w:t xml:space="preserve">3 lĩnh vực cần sử dụng nhiều thời gian thực thủ tục hành chính là </w:t>
      </w:r>
      <w:r w:rsidRPr="009E4F83">
        <w:rPr>
          <w:b/>
          <w:bCs/>
          <w:spacing w:val="-4"/>
          <w:sz w:val="28"/>
          <w:szCs w:val="28"/>
          <w:lang w:val="vi-VN"/>
        </w:rPr>
        <w:t>xây dựng</w:t>
      </w:r>
      <w:r w:rsidRPr="009E4F83">
        <w:rPr>
          <w:b/>
          <w:bCs/>
          <w:spacing w:val="-4"/>
          <w:sz w:val="28"/>
          <w:szCs w:val="28"/>
        </w:rPr>
        <w:t>,</w:t>
      </w:r>
      <w:r w:rsidRPr="009E4F83">
        <w:rPr>
          <w:b/>
          <w:bCs/>
          <w:spacing w:val="-4"/>
          <w:sz w:val="28"/>
          <w:szCs w:val="28"/>
          <w:lang w:val="vi-VN"/>
        </w:rPr>
        <w:t xml:space="preserve"> </w:t>
      </w:r>
      <w:r w:rsidRPr="009E4F83">
        <w:rPr>
          <w:b/>
          <w:bCs/>
          <w:spacing w:val="-4"/>
          <w:sz w:val="28"/>
          <w:szCs w:val="28"/>
        </w:rPr>
        <w:t xml:space="preserve">bảo vệ </w:t>
      </w:r>
      <w:r w:rsidRPr="009E4F83">
        <w:rPr>
          <w:b/>
          <w:bCs/>
          <w:spacing w:val="-4"/>
          <w:sz w:val="28"/>
          <w:szCs w:val="28"/>
          <w:lang w:val="vi-VN"/>
        </w:rPr>
        <w:t>môi trường</w:t>
      </w:r>
      <w:r w:rsidRPr="009E4F83">
        <w:rPr>
          <w:b/>
          <w:bCs/>
          <w:spacing w:val="-4"/>
          <w:sz w:val="28"/>
          <w:szCs w:val="28"/>
        </w:rPr>
        <w:t xml:space="preserve"> và </w:t>
      </w:r>
      <w:r w:rsidRPr="009E4F83">
        <w:rPr>
          <w:b/>
          <w:bCs/>
          <w:spacing w:val="-4"/>
          <w:sz w:val="28"/>
          <w:szCs w:val="28"/>
          <w:lang w:val="vi-VN"/>
        </w:rPr>
        <w:t>phòng cháy</w:t>
      </w:r>
      <w:r w:rsidRPr="009E4F83">
        <w:rPr>
          <w:b/>
          <w:bCs/>
          <w:spacing w:val="-4"/>
          <w:sz w:val="28"/>
          <w:szCs w:val="28"/>
        </w:rPr>
        <w:t xml:space="preserve">, chữa cháy </w:t>
      </w:r>
      <w:r w:rsidRPr="009E4F83">
        <w:rPr>
          <w:spacing w:val="-4"/>
          <w:sz w:val="28"/>
          <w:szCs w:val="28"/>
        </w:rPr>
        <w:t xml:space="preserve">(dự kiến có thể giảm thiểu số thời gian thực hiện thủ tục hành chính đến </w:t>
      </w:r>
      <w:r w:rsidRPr="009E4F83">
        <w:rPr>
          <w:b/>
          <w:bCs/>
          <w:spacing w:val="-4"/>
          <w:sz w:val="28"/>
          <w:szCs w:val="28"/>
        </w:rPr>
        <w:t>260 ngày</w:t>
      </w:r>
      <w:r w:rsidRPr="009E4F83">
        <w:rPr>
          <w:spacing w:val="-4"/>
          <w:sz w:val="28"/>
          <w:szCs w:val="28"/>
        </w:rPr>
        <w:t>).</w:t>
      </w:r>
    </w:p>
    <w:p w14:paraId="5F6CB905"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bCs/>
          <w:spacing w:val="-8"/>
          <w:sz w:val="28"/>
          <w:szCs w:val="28"/>
        </w:rPr>
      </w:pPr>
      <w:r w:rsidRPr="009E4F83">
        <w:rPr>
          <w:b/>
          <w:bCs/>
          <w:spacing w:val="-8"/>
          <w:sz w:val="28"/>
          <w:szCs w:val="28"/>
        </w:rPr>
        <w:t>3</w:t>
      </w:r>
      <w:r w:rsidRPr="009E4F83">
        <w:rPr>
          <w:b/>
          <w:bCs/>
          <w:spacing w:val="-8"/>
          <w:sz w:val="28"/>
          <w:szCs w:val="28"/>
          <w:lang w:val="vi-VN"/>
        </w:rPr>
        <w:t xml:space="preserve">. </w:t>
      </w:r>
      <w:r w:rsidRPr="009E4F83">
        <w:rPr>
          <w:b/>
          <w:bCs/>
          <w:spacing w:val="-8"/>
          <w:sz w:val="28"/>
          <w:szCs w:val="28"/>
        </w:rPr>
        <w:t>Về sửa đổi Luật Đầu tư theo phương thức đối tác công tư</w:t>
      </w:r>
    </w:p>
    <w:p w14:paraId="0666FA11" w14:textId="3BABDF59"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lang w:val="pt-BR"/>
        </w:rPr>
      </w:pPr>
      <w:r w:rsidRPr="009E4F83">
        <w:rPr>
          <w:sz w:val="28"/>
          <w:szCs w:val="28"/>
          <w:lang w:val="pt-BR"/>
        </w:rPr>
        <w:t xml:space="preserve">Luật này sửa đổi, bổ sung một số điều của Luật </w:t>
      </w:r>
      <w:r w:rsidRPr="009E4F83">
        <w:rPr>
          <w:spacing w:val="-8"/>
          <w:sz w:val="28"/>
          <w:szCs w:val="28"/>
        </w:rPr>
        <w:t>Đầu tư theo phương thức đối tác công tư</w:t>
      </w:r>
      <w:r w:rsidRPr="009E4F83">
        <w:rPr>
          <w:sz w:val="28"/>
          <w:szCs w:val="28"/>
          <w:lang w:val="pt-BR"/>
        </w:rPr>
        <w:t xml:space="preserve"> như sau:</w:t>
      </w:r>
    </w:p>
    <w:p w14:paraId="2E345862"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
          <w:iCs/>
          <w:sz w:val="28"/>
          <w:szCs w:val="28"/>
          <w:lang w:val="pt-BR"/>
        </w:rPr>
      </w:pPr>
      <w:r w:rsidRPr="009E4F83">
        <w:rPr>
          <w:i/>
          <w:iCs/>
          <w:sz w:val="28"/>
          <w:szCs w:val="28"/>
          <w:lang w:val="pt-BR"/>
        </w:rPr>
        <w:lastRenderedPageBreak/>
        <w:t>3.1 Về lĩnh vực và hình thức hợp đồng đầu tư theo phương thức PPP</w:t>
      </w:r>
    </w:p>
    <w:p w14:paraId="292F6CD6" w14:textId="6D0ED791"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i/>
          <w:iCs/>
          <w:sz w:val="28"/>
          <w:szCs w:val="28"/>
          <w:lang w:val="pt-BR"/>
        </w:rPr>
        <w:t xml:space="preserve">- </w:t>
      </w:r>
      <w:r w:rsidRPr="009E4F83">
        <w:rPr>
          <w:bCs/>
          <w:sz w:val="28"/>
          <w:szCs w:val="28"/>
        </w:rPr>
        <w:t>Khuyến khích thực hiện phương thức PPP đối với tất cả các dự án thuộc lĩnh vực đầu tư công nhằm cung cấp sản phẩm, dịch vụ công, trừ các dự án thuộc trường hợp Nhà nước độc quyền theo quy định của pháp luật quản lý ngành, lĩnh vực hoặc dự án thuộc lĩnh vực quốc phòng, an ninh và trật tự, an toàn xã hội</w:t>
      </w:r>
      <w:r w:rsidR="00C53122" w:rsidRPr="009E4F83">
        <w:rPr>
          <w:bCs/>
          <w:sz w:val="28"/>
          <w:szCs w:val="28"/>
        </w:rPr>
        <w:t xml:space="preserve">. </w:t>
      </w:r>
      <w:r w:rsidRPr="009E4F83">
        <w:rPr>
          <w:bCs/>
          <w:sz w:val="28"/>
          <w:szCs w:val="28"/>
        </w:rPr>
        <w:t xml:space="preserve"> </w:t>
      </w:r>
    </w:p>
    <w:p w14:paraId="1B6F214A"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i/>
          <w:iCs/>
          <w:sz w:val="28"/>
          <w:szCs w:val="28"/>
          <w:lang w:val="pt-BR"/>
        </w:rPr>
        <w:t>-</w:t>
      </w:r>
      <w:r w:rsidRPr="009E4F83">
        <w:rPr>
          <w:i/>
          <w:iCs/>
          <w:spacing w:val="-12"/>
          <w:sz w:val="28"/>
          <w:szCs w:val="28"/>
        </w:rPr>
        <w:t xml:space="preserve"> </w:t>
      </w:r>
      <w:r w:rsidRPr="009E4F83">
        <w:rPr>
          <w:bCs/>
          <w:i/>
          <w:iCs/>
          <w:sz w:val="28"/>
          <w:szCs w:val="28"/>
        </w:rPr>
        <w:t xml:space="preserve"> </w:t>
      </w:r>
      <w:r w:rsidRPr="009E4F83">
        <w:rPr>
          <w:bCs/>
          <w:sz w:val="28"/>
          <w:szCs w:val="28"/>
        </w:rPr>
        <w:t>Bãi bỏ hạn mức về quy mô vốn đầu tư tối thiểu để thực hiện dự án PPP; giao</w:t>
      </w:r>
      <w:r w:rsidRPr="009E4F83">
        <w:rPr>
          <w:sz w:val="28"/>
          <w:szCs w:val="28"/>
        </w:rPr>
        <w:t xml:space="preserve"> </w:t>
      </w:r>
      <w:r w:rsidRPr="009E4F83">
        <w:rPr>
          <w:bCs/>
          <w:sz w:val="28"/>
          <w:szCs w:val="28"/>
        </w:rPr>
        <w:t>Bộ, ngành và địa phương</w:t>
      </w:r>
      <w:r w:rsidRPr="009E4F83" w:rsidDel="00793253">
        <w:rPr>
          <w:bCs/>
          <w:sz w:val="28"/>
          <w:szCs w:val="28"/>
        </w:rPr>
        <w:t xml:space="preserve"> </w:t>
      </w:r>
      <w:r w:rsidRPr="009E4F83">
        <w:rPr>
          <w:bCs/>
          <w:sz w:val="28"/>
          <w:szCs w:val="28"/>
        </w:rPr>
        <w:t>xem xét và chịu trách nhiệm quyết định lựa chọn dự án phù hợp với nhu cầu và điều kiện thực hiện của nhà đầu tư.</w:t>
      </w:r>
    </w:p>
    <w:p w14:paraId="115CDBAB"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pacing w:val="-4"/>
          <w:sz w:val="28"/>
          <w:szCs w:val="28"/>
        </w:rPr>
      </w:pPr>
      <w:r w:rsidRPr="009E4F83">
        <w:rPr>
          <w:bCs/>
          <w:i/>
          <w:iCs/>
          <w:spacing w:val="-4"/>
          <w:sz w:val="28"/>
          <w:szCs w:val="28"/>
        </w:rPr>
        <w:t xml:space="preserve">- </w:t>
      </w:r>
      <w:r w:rsidRPr="009E4F83">
        <w:rPr>
          <w:bCs/>
          <w:spacing w:val="-4"/>
          <w:sz w:val="28"/>
          <w:szCs w:val="28"/>
        </w:rPr>
        <w:t xml:space="preserve">Tiếp tục áp dụng loại hợp đồng BT thanh toán bằng tiền và thanh toán bằng quỹ đất theo hướng đổi mới toàn diện cách thức thực hiện và thanh toán cho nhà đầu tư, khắc phục tối đa các bất cập, vướng mắc trong việc thực hiện loại hợp đồng này </w:t>
      </w:r>
      <w:r w:rsidRPr="009E4F83">
        <w:rPr>
          <w:bCs/>
          <w:i/>
          <w:iCs/>
          <w:spacing w:val="-4"/>
          <w:sz w:val="28"/>
          <w:szCs w:val="28"/>
        </w:rPr>
        <w:t>(như: tổng mức đầu tư phải được xác định chính xác, tránh nâng khống giá trị công trình; phải tổ chức đấu thầu lựa chọn nhà đầu tư; cơ chế thanh toán cho nhà đầu tư phải được xác định cụ thể, minh bạch ngay từ giai đoạn lập dự án).</w:t>
      </w:r>
    </w:p>
    <w:p w14:paraId="3263E30C"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pt-BR"/>
        </w:rPr>
      </w:pPr>
      <w:r w:rsidRPr="009E4F83">
        <w:rPr>
          <w:sz w:val="28"/>
          <w:szCs w:val="28"/>
          <w:lang w:val="pt-BR"/>
        </w:rPr>
        <w:t>- Bổ sung loại hợp đồng BT không yêu cầu thanh toán để áp dụng đối với các công trình kết cấu hạ tầng và cung cấp dịch vụ công do nhà đầu tư tự đề xuất đầu tư xây dựng và chuyển giao cho Nhà nước mà không yêu cầu thanh toán chi phí đầu tư xây dựng.</w:t>
      </w:r>
    </w:p>
    <w:p w14:paraId="173BE3EF" w14:textId="19829040"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pt-BR"/>
        </w:rPr>
      </w:pPr>
      <w:r w:rsidRPr="009E4F83">
        <w:rPr>
          <w:bCs/>
          <w:i/>
          <w:iCs/>
          <w:sz w:val="28"/>
          <w:szCs w:val="28"/>
        </w:rPr>
        <w:t>-</w:t>
      </w:r>
      <w:r w:rsidRPr="009E4F83">
        <w:rPr>
          <w:i/>
          <w:iCs/>
          <w:sz w:val="28"/>
          <w:szCs w:val="28"/>
        </w:rPr>
        <w:t xml:space="preserve"> </w:t>
      </w:r>
      <w:r w:rsidRPr="009E4F83">
        <w:rPr>
          <w:sz w:val="28"/>
          <w:szCs w:val="28"/>
          <w:lang w:val="pt-BR"/>
        </w:rPr>
        <w:t>Cho phép áp dụng hợp đồng BOT thu phí trực tiếp từ người sử dụng đối với dự án cải tạo, nâng cấp, mở rộng công trình hiện hữu,</w:t>
      </w:r>
      <w:r w:rsidRPr="009E4F83">
        <w:rPr>
          <w:iCs/>
          <w:sz w:val="28"/>
          <w:szCs w:val="28"/>
        </w:rPr>
        <w:t xml:space="preserve"> trừ trường hợp đó là lựa chọn duy nhất của </w:t>
      </w:r>
      <w:r w:rsidRPr="009E4F83">
        <w:rPr>
          <w:iCs/>
          <w:sz w:val="28"/>
          <w:szCs w:val="28"/>
          <w:lang w:val="vi-VN"/>
        </w:rPr>
        <w:t>cộng đồng dân cư, cá nhân sinh sống, sản xuất, kinh doanh tại khu vực công trình</w:t>
      </w:r>
      <w:r w:rsidRPr="009E4F83">
        <w:rPr>
          <w:iCs/>
          <w:sz w:val="28"/>
          <w:szCs w:val="28"/>
        </w:rPr>
        <w:t xml:space="preserve">. </w:t>
      </w:r>
    </w:p>
    <w:p w14:paraId="4759E759"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
          <w:iCs/>
          <w:sz w:val="28"/>
          <w:szCs w:val="28"/>
          <w:lang w:val="pt-BR"/>
        </w:rPr>
      </w:pPr>
      <w:r w:rsidRPr="009E4F83">
        <w:rPr>
          <w:i/>
          <w:iCs/>
          <w:sz w:val="28"/>
          <w:szCs w:val="28"/>
          <w:lang w:val="pt-BR"/>
        </w:rPr>
        <w:t xml:space="preserve">3.2 Về </w:t>
      </w:r>
      <w:r w:rsidRPr="009E4F83">
        <w:rPr>
          <w:i/>
          <w:iCs/>
          <w:spacing w:val="-4"/>
          <w:sz w:val="28"/>
          <w:szCs w:val="28"/>
          <w:lang w:val="pt-BR"/>
        </w:rPr>
        <w:t>cơ chế tài chính đối với dự án PPP</w:t>
      </w:r>
    </w:p>
    <w:p w14:paraId="41DCDF38" w14:textId="0731FC48" w:rsidR="00C53122"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6"/>
          <w:sz w:val="28"/>
          <w:szCs w:val="28"/>
        </w:rPr>
      </w:pPr>
      <w:r w:rsidRPr="009E4F83">
        <w:rPr>
          <w:i/>
          <w:iCs/>
          <w:sz w:val="28"/>
          <w:szCs w:val="28"/>
          <w:lang w:val="pt-BR"/>
        </w:rPr>
        <w:t xml:space="preserve">- </w:t>
      </w:r>
      <w:r w:rsidRPr="009E4F83">
        <w:rPr>
          <w:spacing w:val="-6"/>
          <w:sz w:val="28"/>
          <w:szCs w:val="28"/>
          <w:lang w:val="pt-BR"/>
        </w:rPr>
        <w:t>Áp dụng cơ chế linh hoạt trong việc bố trí nguồn vốn nhà nước tham gia thực hiện dự án PPP theo hướng tiếp tục quy định tỷ lệ vốn nhà nước ở mức 50% và giao Thủ tướng Chính phủ hoặc Hội đồng nhân dân cấp tỉnh quyết định tỷ lệ vốn nhà nước tham gia cao hơn nhưng không quá 70% tổng mức đầu tư đối với dự án</w:t>
      </w:r>
      <w:r w:rsidR="00C53122" w:rsidRPr="009E4F83">
        <w:rPr>
          <w:spacing w:val="-6"/>
          <w:sz w:val="28"/>
          <w:szCs w:val="28"/>
        </w:rPr>
        <w:t>.</w:t>
      </w:r>
    </w:p>
    <w:p w14:paraId="5EED0892"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Cs/>
          <w:spacing w:val="-10"/>
          <w:sz w:val="28"/>
          <w:szCs w:val="28"/>
          <w:lang w:val="pt-BR" w:eastAsia="vi-VN"/>
        </w:rPr>
      </w:pPr>
      <w:r w:rsidRPr="009E4F83">
        <w:rPr>
          <w:sz w:val="28"/>
          <w:szCs w:val="28"/>
        </w:rPr>
        <w:t>- L</w:t>
      </w:r>
      <w:r w:rsidRPr="009E4F83">
        <w:rPr>
          <w:iCs/>
          <w:spacing w:val="-10"/>
          <w:sz w:val="28"/>
          <w:szCs w:val="28"/>
          <w:lang w:val="pt-BR" w:eastAsia="vi-VN"/>
        </w:rPr>
        <w:t>àm rõ trình tự, thủ tục sử dụng vốn đầu tư công thanh toán cho nhà đầu tư trong trường hợp chấm dứt hợp đồng trước thời hạn; bổ sung các nguồn vốn thanh toán để chia sẻ rủi ro với doanh nghiệp dự án PPP, gồm: dự phòng chung kế hoạch đầu tư công trung hạn; tăng thu, tiết kiệm chi ngân sách nhà nước dành cho chi đầu tư phát triển.</w:t>
      </w:r>
    </w:p>
    <w:p w14:paraId="466EA14E"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nl-NL"/>
        </w:rPr>
      </w:pPr>
      <w:r w:rsidRPr="009E4F83">
        <w:rPr>
          <w:i/>
          <w:iCs/>
          <w:sz w:val="28"/>
          <w:szCs w:val="28"/>
          <w:lang w:val="en-GB"/>
        </w:rPr>
        <w:t>3.3 Về quy trình, thủ tục thực hiện dự án PPP</w:t>
      </w:r>
    </w:p>
    <w:p w14:paraId="1111144A" w14:textId="2D46F6F3"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4"/>
          <w:sz w:val="28"/>
          <w:szCs w:val="28"/>
        </w:rPr>
      </w:pPr>
      <w:r w:rsidRPr="009E4F83">
        <w:rPr>
          <w:spacing w:val="-4"/>
          <w:sz w:val="28"/>
          <w:szCs w:val="28"/>
        </w:rPr>
        <w:t>- Bổ sung thủ tục rút gọn và đơn giản hóa nội dung các báo cáo</w:t>
      </w:r>
      <w:r w:rsidR="00363351" w:rsidRPr="009E4F83">
        <w:rPr>
          <w:spacing w:val="-4"/>
          <w:sz w:val="28"/>
          <w:szCs w:val="28"/>
        </w:rPr>
        <w:t xml:space="preserve"> nghiên cứu</w:t>
      </w:r>
      <w:r w:rsidRPr="009E4F83">
        <w:rPr>
          <w:spacing w:val="-4"/>
          <w:sz w:val="28"/>
          <w:szCs w:val="28"/>
        </w:rPr>
        <w:t xml:space="preserve"> tiền khả thi, khả thi đối </w:t>
      </w:r>
      <w:r w:rsidR="00363351" w:rsidRPr="009E4F83">
        <w:rPr>
          <w:spacing w:val="-4"/>
          <w:sz w:val="28"/>
          <w:szCs w:val="28"/>
        </w:rPr>
        <w:t>với</w:t>
      </w:r>
      <w:r w:rsidRPr="009E4F83">
        <w:rPr>
          <w:spacing w:val="-4"/>
          <w:sz w:val="28"/>
          <w:szCs w:val="28"/>
        </w:rPr>
        <w:t>: (i) dự án nhóm B trở xuống và không sử dụng vốn nhà nước; (ii) dự án O&amp;M; (iii) dự án BT không yêu cầu thanh toán.</w:t>
      </w:r>
    </w:p>
    <w:p w14:paraId="300ADCD5" w14:textId="70A03289"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t xml:space="preserve">- Cho phép thực hiện đồng thời một số thủ tục để rút ngắn thời gian chuẩn bị dự án </w:t>
      </w:r>
      <w:r w:rsidR="00363351" w:rsidRPr="009E4F83">
        <w:rPr>
          <w:sz w:val="28"/>
          <w:szCs w:val="28"/>
        </w:rPr>
        <w:t>(</w:t>
      </w:r>
      <w:r w:rsidRPr="009E4F83">
        <w:rPr>
          <w:sz w:val="28"/>
          <w:szCs w:val="28"/>
        </w:rPr>
        <w:t>như: lập báo cáo nghiên cứu khả thi trong quá trình trình phê duyệt chủ trương đầu tư; lập hồ sơ mời thầu trong quá trình lập, thẩm định, phê duyệt chủ trương đầu tư, báo cáo nghiên cứu khả thi</w:t>
      </w:r>
      <w:r w:rsidR="00363351" w:rsidRPr="009E4F83">
        <w:rPr>
          <w:sz w:val="28"/>
          <w:szCs w:val="28"/>
        </w:rPr>
        <w:t>)</w:t>
      </w:r>
      <w:r w:rsidRPr="009E4F83">
        <w:rPr>
          <w:sz w:val="28"/>
          <w:szCs w:val="28"/>
        </w:rPr>
        <w:t>.</w:t>
      </w:r>
    </w:p>
    <w:p w14:paraId="2BC69DBD" w14:textId="06683123"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lastRenderedPageBreak/>
        <w:t>- Đối với dự án sử dụng vốn đầu tư công trong dự án PPP, cho phép lập, thẩm định thiết kế kỹ thuật và dự toán đồng thời với quá trình lựa chọn nhà đầu tư; sau khi ký kết hợp đồng, doanh nghiệp dự án PPP sẽ tổ chức lập thiết kế bản vẽ thi công.</w:t>
      </w:r>
    </w:p>
    <w:p w14:paraId="7D9E24A3"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lang w:val="de-DE"/>
        </w:rPr>
      </w:pPr>
      <w:r w:rsidRPr="009E4F83">
        <w:rPr>
          <w:sz w:val="28"/>
          <w:szCs w:val="28"/>
          <w:lang w:val="pt-BR"/>
        </w:rPr>
        <w:t>- P</w:t>
      </w:r>
      <w:r w:rsidRPr="009E4F83">
        <w:rPr>
          <w:sz w:val="28"/>
          <w:szCs w:val="28"/>
          <w:lang w:val="nl-NL"/>
        </w:rPr>
        <w:t xml:space="preserve">hân cấp cho Hội đồng thẩm định cấp cơ sở thẩm định báo cáo nghiên cứu khả thi đối với dự án </w:t>
      </w:r>
      <w:r w:rsidRPr="009E4F83">
        <w:rPr>
          <w:sz w:val="28"/>
          <w:szCs w:val="28"/>
          <w:lang w:val="de-DE"/>
        </w:rPr>
        <w:t xml:space="preserve">thuộc thẩm quyền quyết định chủ trương đầu tư của Thủ tướng Chính phủ (thay vì Hội đồng thẩm định liên ngành như quy định hiện hành). </w:t>
      </w:r>
    </w:p>
    <w:p w14:paraId="36F07E45" w14:textId="4564081E"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t>- Phân cấp thẩm quyền quyết định chủ trương đầu tư dự án PPP đồng bộ với dự án đầu tư công theo dự thảo Luật Đầu tư công, trong đó đặc biệt phân cấp tối đa c</w:t>
      </w:r>
      <w:r w:rsidR="00C53122" w:rsidRPr="009E4F83">
        <w:rPr>
          <w:sz w:val="28"/>
          <w:szCs w:val="28"/>
        </w:rPr>
        <w:t>ho</w:t>
      </w:r>
      <w:r w:rsidRPr="009E4F83">
        <w:rPr>
          <w:sz w:val="28"/>
          <w:szCs w:val="28"/>
        </w:rPr>
        <w:t xml:space="preserve"> Ủy ban nhân dân cấp tỉnh. </w:t>
      </w:r>
    </w:p>
    <w:p w14:paraId="4328FD0D" w14:textId="75468412"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i/>
          <w:iCs/>
          <w:spacing w:val="-6"/>
          <w:sz w:val="28"/>
          <w:szCs w:val="28"/>
        </w:rPr>
      </w:pPr>
      <w:r w:rsidRPr="009E4F83">
        <w:rPr>
          <w:i/>
          <w:iCs/>
          <w:spacing w:val="-6"/>
          <w:sz w:val="28"/>
          <w:szCs w:val="28"/>
        </w:rPr>
        <w:t>3.4 Về việc xử lý vướng mắc đối với các dự án BOT, BT chuyển tiếp</w:t>
      </w:r>
    </w:p>
    <w:p w14:paraId="1680A95A"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pacing w:val="-6"/>
          <w:sz w:val="28"/>
          <w:szCs w:val="28"/>
        </w:rPr>
      </w:pPr>
      <w:r w:rsidRPr="009E4F83">
        <w:rPr>
          <w:spacing w:val="-6"/>
          <w:sz w:val="28"/>
          <w:szCs w:val="28"/>
        </w:rPr>
        <w:t>- Cho phép áp dụng Luật PPP trong trường hợp hợp đồng được ký kết trước thời điểm Luật PPP có hiệu lực thi hành mà chưa có quy định điều chỉnh những vấn đề phát sinh trong quá trình thực hiện dự án.</w:t>
      </w:r>
    </w:p>
    <w:p w14:paraId="60ED9C10"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Cs/>
          <w:sz w:val="28"/>
          <w:szCs w:val="28"/>
        </w:rPr>
      </w:pPr>
      <w:r w:rsidRPr="009E4F83">
        <w:rPr>
          <w:spacing w:val="-6"/>
          <w:sz w:val="28"/>
          <w:szCs w:val="28"/>
        </w:rPr>
        <w:t>- Quy định cụ thể cách thức xử lý đối với hợp đồng dự án BT có nội dung chưa phù hợp với quy định của pháp luật tại thời điểm ký hợp đồng c</w:t>
      </w:r>
      <w:r w:rsidRPr="009E4F83">
        <w:rPr>
          <w:bCs/>
          <w:sz w:val="28"/>
          <w:szCs w:val="28"/>
        </w:rPr>
        <w:t>ăn cứ ý kiến kết luận của các cơ quan thanh tra, kiểm toán nhà nước để bảo đảm xử lý dứt điểm các dự án BT chuyển tiếp, góp phần khai thông nguồn lực đất đai đang tồn đọng ở các dự án này.</w:t>
      </w:r>
    </w:p>
    <w:p w14:paraId="4E85CBFD"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bCs/>
          <w:spacing w:val="-8"/>
          <w:sz w:val="28"/>
          <w:szCs w:val="28"/>
        </w:rPr>
      </w:pPr>
      <w:r w:rsidRPr="009E4F83">
        <w:rPr>
          <w:spacing w:val="-4"/>
          <w:sz w:val="28"/>
          <w:szCs w:val="28"/>
        </w:rPr>
        <w:t xml:space="preserve">- Cho phép dự án BT thanh toán bằng tiền có hợp đồng được ký kết trước thời điểm Luật này có hiệu lực thi hành mà chi phí lãi vay sau thời gian xây dựng, lợi nhuận hợp lý và các chi phí hợp pháp khác đã được xác định trong phương án tài chính tại hợp đồng dự án và được kiểm toán, thì được </w:t>
      </w:r>
      <w:r w:rsidRPr="009E4F83">
        <w:rPr>
          <w:iCs/>
          <w:spacing w:val="-4"/>
          <w:sz w:val="28"/>
          <w:szCs w:val="28"/>
        </w:rPr>
        <w:t xml:space="preserve">thanh toán </w:t>
      </w:r>
      <w:r w:rsidRPr="009E4F83">
        <w:rPr>
          <w:iCs/>
          <w:spacing w:val="-4"/>
          <w:sz w:val="28"/>
          <w:szCs w:val="28"/>
          <w:lang w:val="vi-VN"/>
        </w:rPr>
        <w:t xml:space="preserve">các khoản này </w:t>
      </w:r>
      <w:r w:rsidRPr="009E4F83">
        <w:rPr>
          <w:iCs/>
          <w:spacing w:val="-4"/>
          <w:sz w:val="28"/>
          <w:szCs w:val="28"/>
        </w:rPr>
        <w:t>theo hướng dẫn của Bộ Tài chính</w:t>
      </w:r>
      <w:r w:rsidRPr="009E4F83">
        <w:rPr>
          <w:spacing w:val="-4"/>
          <w:sz w:val="28"/>
          <w:szCs w:val="28"/>
        </w:rPr>
        <w:t>.</w:t>
      </w:r>
      <w:r w:rsidRPr="009E4F83" w:rsidDel="00DF6831">
        <w:rPr>
          <w:b/>
          <w:bCs/>
          <w:spacing w:val="-8"/>
          <w:sz w:val="28"/>
          <w:szCs w:val="28"/>
        </w:rPr>
        <w:t xml:space="preserve"> </w:t>
      </w:r>
    </w:p>
    <w:p w14:paraId="20A2365D" w14:textId="77777777" w:rsidR="00FB3D84"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b/>
          <w:bCs/>
          <w:sz w:val="28"/>
          <w:szCs w:val="28"/>
        </w:rPr>
      </w:pPr>
      <w:r w:rsidRPr="009E4F83">
        <w:rPr>
          <w:b/>
          <w:bCs/>
          <w:sz w:val="28"/>
          <w:szCs w:val="28"/>
        </w:rPr>
        <w:t>4. Về sửa đổi Luật Đấu thầu</w:t>
      </w:r>
    </w:p>
    <w:p w14:paraId="280B20DA" w14:textId="4912361A" w:rsidR="003037E1" w:rsidRPr="009E4F83" w:rsidRDefault="003037E1"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lang w:val="pt-BR"/>
        </w:rPr>
      </w:pPr>
      <w:r w:rsidRPr="009E4F83">
        <w:rPr>
          <w:sz w:val="28"/>
          <w:szCs w:val="28"/>
          <w:lang w:val="pt-BR"/>
        </w:rPr>
        <w:t>Luật này sửa đổi, bổ sung một số điều của Luật Đấu thầu như sau:</w:t>
      </w:r>
    </w:p>
    <w:p w14:paraId="350FD251" w14:textId="368F06F8"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Cho phép phê duyệt kết quả lựa chọn nhà thầu trước khi dự án được phê duyệt hoặc ký hợp đồng với nhà thầu trước khi điều ước quốc tế, thỏa thuận vay nước ngoài được ký kết nhằm góp phần tiết kiệm thời gian, đẩy nhanh tiến độ thực hiện dự án, gói thầu.</w:t>
      </w:r>
    </w:p>
    <w:p w14:paraId="3B044817"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xml:space="preserve">- Cho phép áp dụng hình thức đấu thầu hạn chế, đấu thầu quốc tế, đấu thầu trong nước trong trường hợp đối tác phát triển, nhà tài trợ nước ngoài yêu cầu áp dụng các hình thức này như một điều kiện ràng buộc trong quá trình đàm phán, ký kết các điều ước quốc tế, thỏa thuận vay nước ngoài nhằm </w:t>
      </w:r>
      <w:r w:rsidRPr="009E4F83">
        <w:rPr>
          <w:rFonts w:eastAsia="Calibri"/>
          <w:sz w:val="28"/>
          <w:szCs w:val="28"/>
        </w:rPr>
        <w:t>đẩy nhanh quá trình đàm phán, ký kết điều ước quốc tế, thỏa thuận vay nước ngoài.</w:t>
      </w:r>
    </w:p>
    <w:p w14:paraId="2E4E6BF4"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xml:space="preserve">- Bổ sung các gói thầu được áp dụng hình thức lựa chọn nhà thầu trong trường hợp đặc biệt, đồng thời phân cấp thẩm quyền quyết định áp dụng hình thức này nhằm đẩy nhanh tiến độ thực hiện các dự án, gói thầu có yêu cầu đặc thù về lựa chọn nhà thầu mà không thể áp dụng các hình thức lựa chọn nhà thầu khác </w:t>
      </w:r>
      <w:r w:rsidRPr="009E4F83">
        <w:rPr>
          <w:sz w:val="28"/>
          <w:szCs w:val="28"/>
        </w:rPr>
        <w:lastRenderedPageBreak/>
        <w:t>được quy định tại Luật này.</w:t>
      </w:r>
    </w:p>
    <w:p w14:paraId="11904211"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xml:space="preserve">- Sửa đổi quy định về áp dụng mua sắm trực tiếp </w:t>
      </w:r>
      <w:r w:rsidRPr="009E4F83">
        <w:rPr>
          <w:bCs/>
          <w:iCs/>
          <w:sz w:val="28"/>
          <w:szCs w:val="28"/>
        </w:rPr>
        <w:t>đối với việc mua thuốc để bán lẻ tại cơ sở bán lẻ thuốc</w:t>
      </w:r>
      <w:r w:rsidRPr="009E4F83" w:rsidDel="00776E48">
        <w:rPr>
          <w:sz w:val="28"/>
          <w:szCs w:val="28"/>
        </w:rPr>
        <w:t xml:space="preserve"> </w:t>
      </w:r>
      <w:r w:rsidRPr="009E4F83">
        <w:rPr>
          <w:sz w:val="28"/>
          <w:szCs w:val="28"/>
        </w:rPr>
        <w:t>nhằm tháo gỡ khó khăn cho hoạt động bán lẻ thuốc tại nhà thuốc bệnh viện, đẩy nhanh tiến độ mua sắm thuốc, đáp ứng chất lượng và yêu cầu phục vụ công tác khám bệnh, chữa bệnh.</w:t>
      </w:r>
    </w:p>
    <w:p w14:paraId="66433228"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Sửa đổi quy định về chỉ định thầu, căn cứ lập kế hoạch nhà thầu để bảo đảm tính đồng bộ, thống nhất với pháp luật về quy hoạch và dự trữ quốc gia.</w:t>
      </w:r>
    </w:p>
    <w:p w14:paraId="3AE81A46" w14:textId="77777777"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 xml:space="preserve">- Sửa đổi quy định về </w:t>
      </w:r>
      <w:bookmarkStart w:id="3" w:name="_Hlk177985787"/>
      <w:r w:rsidRPr="009E4F83">
        <w:rPr>
          <w:bCs/>
          <w:sz w:val="28"/>
          <w:szCs w:val="28"/>
        </w:rPr>
        <w:t xml:space="preserve">lựa chọn nhà thầu </w:t>
      </w:r>
      <w:r w:rsidRPr="009E4F83">
        <w:rPr>
          <w:sz w:val="28"/>
          <w:szCs w:val="28"/>
          <w:lang w:val="vi-VN"/>
        </w:rPr>
        <w:t>cung cấp dịch vụ tư vấn</w:t>
      </w:r>
      <w:r w:rsidRPr="009E4F83">
        <w:rPr>
          <w:sz w:val="28"/>
          <w:szCs w:val="28"/>
        </w:rPr>
        <w:t xml:space="preserve">, </w:t>
      </w:r>
      <w:r w:rsidRPr="009E4F83">
        <w:rPr>
          <w:sz w:val="28"/>
          <w:szCs w:val="28"/>
          <w:lang w:val="vi-VN"/>
        </w:rPr>
        <w:t>nguyên liệu, nhiên liệu, vật liệu, vật tư, dịch vụ phi tư vấn</w:t>
      </w:r>
      <w:r w:rsidRPr="009E4F83">
        <w:rPr>
          <w:bCs/>
          <w:sz w:val="28"/>
          <w:szCs w:val="28"/>
        </w:rPr>
        <w:t xml:space="preserve"> phục vụ trực tiếp cho gói thầu mà đơn vị sự nghiệp công lập đã trúng thầu</w:t>
      </w:r>
      <w:bookmarkEnd w:id="3"/>
      <w:r w:rsidRPr="009E4F83">
        <w:rPr>
          <w:bCs/>
          <w:sz w:val="28"/>
          <w:szCs w:val="28"/>
        </w:rPr>
        <w:t xml:space="preserve"> để tạo sự chủ động, linh hoạt, thuận lợi cho hoạt động kinh doanh của các đơn vị sự nghiệp công lập.</w:t>
      </w:r>
    </w:p>
    <w:p w14:paraId="04E4D705" w14:textId="107D3145" w:rsidR="00C53122" w:rsidRPr="009E4F83" w:rsidRDefault="00C53122" w:rsidP="009E4F83">
      <w:pPr>
        <w:widowControl w:val="0"/>
        <w:pBdr>
          <w:top w:val="dotted" w:sz="4" w:space="0" w:color="FFFFFF"/>
          <w:left w:val="dotted" w:sz="4" w:space="0" w:color="FFFFFF"/>
          <w:bottom w:val="dotted" w:sz="4" w:space="31" w:color="FFFFFF"/>
          <w:right w:val="dotted" w:sz="4" w:space="0" w:color="FFFFFF"/>
        </w:pBdr>
        <w:spacing w:before="120" w:after="120" w:line="330" w:lineRule="exact"/>
        <w:ind w:firstLine="720"/>
        <w:jc w:val="both"/>
        <w:rPr>
          <w:sz w:val="28"/>
          <w:szCs w:val="28"/>
        </w:rPr>
      </w:pPr>
      <w:r w:rsidRPr="009E4F83">
        <w:rPr>
          <w:sz w:val="28"/>
          <w:szCs w:val="28"/>
        </w:rPr>
        <w:t>Ngoài ra, Luật này sửa đổi, bổ sung một số nội dung khác để tháo gỡ vướng mắc, tăng tính cạnh tranh trong đấu thầu, bảo đảm quyền lợi của các đối tượng trong quá trình tham dự thầu</w:t>
      </w:r>
      <w:r w:rsidR="00363351" w:rsidRPr="009E4F83">
        <w:rPr>
          <w:sz w:val="28"/>
          <w:szCs w:val="28"/>
        </w:rPr>
        <w:t xml:space="preserve"> (</w:t>
      </w:r>
      <w:r w:rsidRPr="009E4F83">
        <w:rPr>
          <w:sz w:val="28"/>
          <w:szCs w:val="28"/>
        </w:rPr>
        <w:t>như: bổ sung quy định về tư cách hợp lệ của nhà thầu; rút ngắn thời gian chuẩn bị hồ sơ dự thầu đối với gói thầu dịch vụ tư vấn đơn giản, giá trị nhỏ; sửa đổi quy định về phương thức một giai đoạn hai túi hồ sơ, thương thảo hợp đồng</w:t>
      </w:r>
      <w:r w:rsidR="00363351" w:rsidRPr="009E4F83">
        <w:rPr>
          <w:sz w:val="28"/>
          <w:szCs w:val="28"/>
        </w:rPr>
        <w:t>)</w:t>
      </w:r>
      <w:r w:rsidRPr="009E4F83">
        <w:rPr>
          <w:sz w:val="28"/>
          <w:szCs w:val="28"/>
        </w:rPr>
        <w:t xml:space="preserve">. </w:t>
      </w:r>
    </w:p>
    <w:p w14:paraId="0D2EF572" w14:textId="55E03FB5" w:rsidR="009E4F83" w:rsidRPr="009E4F83" w:rsidRDefault="00FB3D84" w:rsidP="009E4F8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30" w:lineRule="exact"/>
        <w:ind w:firstLine="720"/>
        <w:jc w:val="both"/>
        <w:rPr>
          <w:sz w:val="28"/>
          <w:szCs w:val="28"/>
        </w:rPr>
      </w:pPr>
      <w:r w:rsidRPr="009E4F83">
        <w:rPr>
          <w:sz w:val="28"/>
          <w:szCs w:val="28"/>
        </w:rPr>
        <w:t>Trên đây là Tờ trình tóm tắt dự án Luật sửa đổi, bổ sung một số điều của Luật Quy hoạch, Luật Đầu tư, Luật Đầu tư theo phương thức đối tác công tư, Luật Đấu thầu, Chính phủ kính trình Quốc hội xem xét./.</w:t>
      </w:r>
    </w:p>
    <w:tbl>
      <w:tblPr>
        <w:tblW w:w="8931" w:type="dxa"/>
        <w:tblInd w:w="108" w:type="dxa"/>
        <w:tblLook w:val="01E0" w:firstRow="1" w:lastRow="1" w:firstColumn="1" w:lastColumn="1" w:noHBand="0" w:noVBand="0"/>
      </w:tblPr>
      <w:tblGrid>
        <w:gridCol w:w="4536"/>
        <w:gridCol w:w="4395"/>
      </w:tblGrid>
      <w:tr w:rsidR="009E4F83" w:rsidRPr="009E4F83" w14:paraId="78DA414D" w14:textId="77777777" w:rsidTr="00D41E07">
        <w:trPr>
          <w:trHeight w:val="411"/>
        </w:trPr>
        <w:tc>
          <w:tcPr>
            <w:tcW w:w="4536" w:type="dxa"/>
            <w:vMerge w:val="restart"/>
          </w:tcPr>
          <w:p w14:paraId="4FA7B57B" w14:textId="77777777" w:rsidR="009E4F83" w:rsidRPr="009E4F83" w:rsidRDefault="009E4F83" w:rsidP="00D41E07">
            <w:pPr>
              <w:ind w:left="-108"/>
              <w:jc w:val="both"/>
              <w:rPr>
                <w:b/>
                <w:i/>
              </w:rPr>
            </w:pPr>
            <w:r w:rsidRPr="009E4F83">
              <w:rPr>
                <w:b/>
                <w:i/>
              </w:rPr>
              <w:t>Nơi nhận:</w:t>
            </w:r>
          </w:p>
          <w:p w14:paraId="6FEA106A" w14:textId="77777777" w:rsidR="009E4F83" w:rsidRPr="009E4F83" w:rsidRDefault="009E4F83" w:rsidP="00D41E07">
            <w:pPr>
              <w:ind w:left="-108"/>
              <w:jc w:val="both"/>
              <w:rPr>
                <w:spacing w:val="2"/>
                <w:sz w:val="22"/>
                <w:szCs w:val="22"/>
              </w:rPr>
            </w:pPr>
            <w:r w:rsidRPr="009E4F83">
              <w:rPr>
                <w:spacing w:val="2"/>
                <w:sz w:val="22"/>
                <w:szCs w:val="22"/>
              </w:rPr>
              <w:t>- Như trên;</w:t>
            </w:r>
          </w:p>
          <w:p w14:paraId="01849F75"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Thủ tướng Chính phủ (để báo cáo);</w:t>
            </w:r>
          </w:p>
          <w:p w14:paraId="57E6032D"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Các Phó Thủ tướng Chính phủ (để báo cáo);</w:t>
            </w:r>
          </w:p>
          <w:p w14:paraId="2E14AD9E"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Văn phòng Trung ương Đảng;</w:t>
            </w:r>
          </w:p>
          <w:p w14:paraId="6A554449"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Ban Nội chính TW;</w:t>
            </w:r>
          </w:p>
          <w:p w14:paraId="6429A612"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Ủy ban Thường vụ Quốc hội;</w:t>
            </w:r>
          </w:p>
          <w:p w14:paraId="2CD4DC8D"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Ủy ban Kinh tế;</w:t>
            </w:r>
          </w:p>
          <w:p w14:paraId="7D1DE928" w14:textId="77777777" w:rsidR="009E4F83" w:rsidRPr="009E4F83" w:rsidRDefault="009E4F83" w:rsidP="00D41E07">
            <w:pPr>
              <w:spacing w:line="240" w:lineRule="atLeast"/>
              <w:ind w:left="-108"/>
              <w:jc w:val="both"/>
              <w:rPr>
                <w:rFonts w:eastAsia="Batang"/>
                <w:sz w:val="22"/>
                <w:szCs w:val="22"/>
                <w:lang w:eastAsia="ko-KR"/>
              </w:rPr>
            </w:pPr>
            <w:r w:rsidRPr="009E4F83">
              <w:rPr>
                <w:rFonts w:eastAsia="Batang"/>
                <w:sz w:val="22"/>
                <w:szCs w:val="22"/>
                <w:lang w:eastAsia="ko-KR"/>
              </w:rPr>
              <w:t>- Văn phòng Quốc hội;</w:t>
            </w:r>
          </w:p>
          <w:p w14:paraId="7F869EDC" w14:textId="77777777" w:rsidR="009E4F83" w:rsidRPr="009E4F83" w:rsidRDefault="009E4F83" w:rsidP="00D41E07">
            <w:pPr>
              <w:pStyle w:val="BodyTextIndent"/>
              <w:spacing w:after="0"/>
              <w:ind w:left="-108"/>
              <w:jc w:val="both"/>
              <w:rPr>
                <w:sz w:val="22"/>
                <w:szCs w:val="22"/>
                <w:lang w:val="en-US" w:eastAsia="en-US"/>
              </w:rPr>
            </w:pPr>
            <w:r w:rsidRPr="009E4F83">
              <w:rPr>
                <w:rFonts w:eastAsia="Batang"/>
                <w:sz w:val="22"/>
                <w:szCs w:val="22"/>
                <w:lang w:val="en-US" w:eastAsia="ko-KR"/>
              </w:rPr>
              <w:t xml:space="preserve">- </w:t>
            </w:r>
            <w:r w:rsidRPr="009E4F83">
              <w:rPr>
                <w:sz w:val="22"/>
                <w:szCs w:val="22"/>
                <w:lang w:val="en-US" w:eastAsia="en-US"/>
              </w:rPr>
              <w:t>Các Bộ: KHĐT, TC, TP;</w:t>
            </w:r>
          </w:p>
          <w:p w14:paraId="6A895D86" w14:textId="77777777" w:rsidR="009E4F83" w:rsidRPr="009E4F83" w:rsidRDefault="009E4F83" w:rsidP="00D41E07">
            <w:pPr>
              <w:ind w:left="-108"/>
              <w:jc w:val="both"/>
              <w:rPr>
                <w:rFonts w:eastAsia="Batang"/>
                <w:spacing w:val="-6"/>
                <w:sz w:val="22"/>
                <w:szCs w:val="22"/>
                <w:lang w:eastAsia="ko-KR"/>
              </w:rPr>
            </w:pPr>
            <w:r w:rsidRPr="009E4F83">
              <w:rPr>
                <w:rFonts w:eastAsia="Batang"/>
                <w:sz w:val="22"/>
                <w:szCs w:val="22"/>
                <w:lang w:eastAsia="ko-KR"/>
              </w:rPr>
              <w:t xml:space="preserve">- </w:t>
            </w:r>
            <w:r w:rsidRPr="009E4F83">
              <w:rPr>
                <w:rFonts w:eastAsia="Batang"/>
                <w:spacing w:val="-6"/>
                <w:sz w:val="22"/>
                <w:szCs w:val="22"/>
                <w:lang w:eastAsia="ko-KR"/>
              </w:rPr>
              <w:t>VPCP: BTCN, PCN Nguyễn Sỹ Hiệp;</w:t>
            </w:r>
          </w:p>
          <w:p w14:paraId="32D5C468" w14:textId="77777777" w:rsidR="009E4F83" w:rsidRPr="009E4F83" w:rsidRDefault="009E4F83" w:rsidP="00D41E07">
            <w:pPr>
              <w:ind w:left="-108"/>
              <w:jc w:val="both"/>
              <w:rPr>
                <w:rFonts w:eastAsia="Batang"/>
                <w:spacing w:val="-6"/>
                <w:sz w:val="22"/>
                <w:szCs w:val="22"/>
                <w:lang w:eastAsia="ko-KR"/>
              </w:rPr>
            </w:pPr>
            <w:r w:rsidRPr="009E4F83">
              <w:rPr>
                <w:rFonts w:eastAsia="Batang"/>
                <w:spacing w:val="-6"/>
                <w:sz w:val="22"/>
                <w:szCs w:val="22"/>
                <w:lang w:eastAsia="ko-KR"/>
              </w:rPr>
              <w:t xml:space="preserve">   Các Vụ: QHĐP, KTTH; </w:t>
            </w:r>
          </w:p>
          <w:p w14:paraId="4DDCA4BE" w14:textId="77777777" w:rsidR="009E4F83" w:rsidRPr="009E4F83" w:rsidRDefault="009E4F83" w:rsidP="00D41E07">
            <w:pPr>
              <w:pStyle w:val="BodyTextIndent"/>
              <w:spacing w:after="0"/>
              <w:ind w:left="-108"/>
              <w:jc w:val="both"/>
              <w:rPr>
                <w:rFonts w:eastAsia="Batang"/>
                <w:sz w:val="22"/>
                <w:szCs w:val="22"/>
                <w:lang w:val="en-US" w:eastAsia="ko-KR"/>
              </w:rPr>
            </w:pPr>
            <w:r w:rsidRPr="009E4F83">
              <w:rPr>
                <w:rFonts w:eastAsia="Batang"/>
                <w:sz w:val="22"/>
                <w:szCs w:val="22"/>
                <w:lang w:val="en-US" w:eastAsia="ko-KR"/>
              </w:rPr>
              <w:t>- Lưu: VT, PL (2).</w:t>
            </w:r>
          </w:p>
          <w:p w14:paraId="24A8FA7F" w14:textId="77777777" w:rsidR="009E4F83" w:rsidRPr="009E4F83" w:rsidRDefault="009E4F83" w:rsidP="00D41E07">
            <w:pPr>
              <w:ind w:left="-108"/>
              <w:jc w:val="both"/>
              <w:rPr>
                <w:b/>
                <w:i/>
                <w:sz w:val="20"/>
                <w:szCs w:val="20"/>
              </w:rPr>
            </w:pPr>
          </w:p>
        </w:tc>
        <w:tc>
          <w:tcPr>
            <w:tcW w:w="4395" w:type="dxa"/>
          </w:tcPr>
          <w:p w14:paraId="019E9C14" w14:textId="77777777" w:rsidR="009E4F83" w:rsidRPr="009E4F83" w:rsidRDefault="009E4F83" w:rsidP="00D41E07">
            <w:pPr>
              <w:jc w:val="center"/>
              <w:rPr>
                <w:b/>
                <w:sz w:val="28"/>
                <w:szCs w:val="28"/>
              </w:rPr>
            </w:pPr>
            <w:r w:rsidRPr="009E4F83">
              <w:rPr>
                <w:b/>
                <w:sz w:val="28"/>
                <w:szCs w:val="28"/>
              </w:rPr>
              <w:t>TM. CHÍNH PHỦ</w:t>
            </w:r>
          </w:p>
          <w:p w14:paraId="3CD658BF" w14:textId="77777777" w:rsidR="009E4F83" w:rsidRPr="009E4F83" w:rsidRDefault="009E4F83" w:rsidP="00D41E07">
            <w:pPr>
              <w:jc w:val="center"/>
              <w:rPr>
                <w:b/>
                <w:sz w:val="28"/>
                <w:szCs w:val="28"/>
              </w:rPr>
            </w:pPr>
            <w:r w:rsidRPr="009E4F83">
              <w:rPr>
                <w:b/>
                <w:sz w:val="28"/>
                <w:szCs w:val="28"/>
              </w:rPr>
              <w:t>TUQ. THỦ TƯỚNG</w:t>
            </w:r>
          </w:p>
          <w:p w14:paraId="06177B0C" w14:textId="77777777" w:rsidR="009E4F83" w:rsidRPr="009E4F83" w:rsidRDefault="009E4F83" w:rsidP="00D41E07">
            <w:pPr>
              <w:jc w:val="center"/>
              <w:rPr>
                <w:b/>
                <w:sz w:val="28"/>
                <w:szCs w:val="28"/>
              </w:rPr>
            </w:pPr>
            <w:r w:rsidRPr="009E4F83">
              <w:rPr>
                <w:b/>
                <w:sz w:val="28"/>
                <w:szCs w:val="28"/>
              </w:rPr>
              <w:t xml:space="preserve">BỘ TRƯỞNG </w:t>
            </w:r>
          </w:p>
          <w:p w14:paraId="4DD82A44" w14:textId="77777777" w:rsidR="009E4F83" w:rsidRPr="009E4F83" w:rsidRDefault="009E4F83" w:rsidP="00D41E07">
            <w:pPr>
              <w:jc w:val="center"/>
              <w:rPr>
                <w:b/>
                <w:sz w:val="28"/>
                <w:szCs w:val="28"/>
              </w:rPr>
            </w:pPr>
            <w:r w:rsidRPr="009E4F83">
              <w:rPr>
                <w:b/>
                <w:sz w:val="28"/>
                <w:szCs w:val="28"/>
              </w:rPr>
              <w:t>BỘ KẾ HOẠCH VÀ ĐẦU TƯ</w:t>
            </w:r>
          </w:p>
        </w:tc>
      </w:tr>
      <w:tr w:rsidR="009E4F83" w:rsidRPr="009E4F83" w14:paraId="5EDDD720" w14:textId="77777777" w:rsidTr="00D41E07">
        <w:tc>
          <w:tcPr>
            <w:tcW w:w="4536" w:type="dxa"/>
            <w:vMerge/>
          </w:tcPr>
          <w:p w14:paraId="68081591" w14:textId="77777777" w:rsidR="009E4F83" w:rsidRPr="009E4F83" w:rsidRDefault="009E4F83" w:rsidP="00D41E07">
            <w:pPr>
              <w:jc w:val="both"/>
              <w:rPr>
                <w:sz w:val="22"/>
                <w:szCs w:val="22"/>
              </w:rPr>
            </w:pPr>
          </w:p>
        </w:tc>
        <w:tc>
          <w:tcPr>
            <w:tcW w:w="4395" w:type="dxa"/>
          </w:tcPr>
          <w:p w14:paraId="1930396A" w14:textId="77777777" w:rsidR="009E4F83" w:rsidRPr="009E4F83" w:rsidRDefault="009E4F83" w:rsidP="00D41E07">
            <w:pPr>
              <w:jc w:val="center"/>
              <w:rPr>
                <w:b/>
                <w:sz w:val="28"/>
                <w:szCs w:val="28"/>
              </w:rPr>
            </w:pPr>
          </w:p>
          <w:p w14:paraId="6A1753E6" w14:textId="77777777" w:rsidR="009E4F83" w:rsidRPr="009E4F83" w:rsidRDefault="009E4F83" w:rsidP="00D41E07">
            <w:pPr>
              <w:jc w:val="center"/>
              <w:rPr>
                <w:b/>
                <w:sz w:val="28"/>
                <w:szCs w:val="28"/>
              </w:rPr>
            </w:pPr>
          </w:p>
          <w:p w14:paraId="1BFA87D5" w14:textId="77777777" w:rsidR="009E4F83" w:rsidRPr="009E4F83" w:rsidRDefault="009E4F83" w:rsidP="00D41E07">
            <w:pPr>
              <w:jc w:val="center"/>
              <w:rPr>
                <w:b/>
                <w:sz w:val="28"/>
                <w:szCs w:val="28"/>
              </w:rPr>
            </w:pPr>
          </w:p>
          <w:p w14:paraId="7539B1B8" w14:textId="77777777" w:rsidR="009E4F83" w:rsidRPr="009E4F83" w:rsidRDefault="009E4F83" w:rsidP="00D41E07">
            <w:pPr>
              <w:jc w:val="center"/>
              <w:rPr>
                <w:b/>
                <w:sz w:val="28"/>
                <w:szCs w:val="28"/>
              </w:rPr>
            </w:pPr>
          </w:p>
          <w:p w14:paraId="4163DAA7" w14:textId="77777777" w:rsidR="009E4F83" w:rsidRPr="009E4F83" w:rsidRDefault="009E4F83" w:rsidP="00D41E07">
            <w:pPr>
              <w:jc w:val="center"/>
              <w:rPr>
                <w:b/>
                <w:sz w:val="28"/>
                <w:szCs w:val="28"/>
              </w:rPr>
            </w:pPr>
          </w:p>
          <w:p w14:paraId="2EC8076B" w14:textId="77777777" w:rsidR="009E4F83" w:rsidRPr="009E4F83" w:rsidRDefault="009E4F83" w:rsidP="00D41E07">
            <w:pPr>
              <w:jc w:val="center"/>
              <w:rPr>
                <w:b/>
                <w:sz w:val="28"/>
                <w:szCs w:val="28"/>
              </w:rPr>
            </w:pPr>
          </w:p>
          <w:p w14:paraId="4AD16A0A" w14:textId="77777777" w:rsidR="009E4F83" w:rsidRPr="009E4F83" w:rsidRDefault="009E4F83" w:rsidP="00D41E07">
            <w:pPr>
              <w:jc w:val="center"/>
              <w:rPr>
                <w:b/>
                <w:sz w:val="28"/>
                <w:szCs w:val="28"/>
              </w:rPr>
            </w:pPr>
            <w:r w:rsidRPr="009E4F83">
              <w:rPr>
                <w:b/>
                <w:sz w:val="28"/>
                <w:szCs w:val="28"/>
              </w:rPr>
              <w:t>Nguyễn Chí Dũng</w:t>
            </w:r>
          </w:p>
        </w:tc>
      </w:tr>
    </w:tbl>
    <w:p w14:paraId="16F8D4CE" w14:textId="038878F8" w:rsidR="009E4F83" w:rsidRPr="009E4F83" w:rsidRDefault="009E4F83">
      <w:pPr>
        <w:spacing w:after="200" w:line="276" w:lineRule="auto"/>
        <w:rPr>
          <w:spacing w:val="4"/>
          <w:sz w:val="28"/>
          <w:szCs w:val="28"/>
        </w:rPr>
      </w:pPr>
    </w:p>
    <w:sectPr w:rsidR="009E4F83" w:rsidRPr="009E4F83" w:rsidSect="00A94C09">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78248" w14:textId="77777777" w:rsidR="00C12244" w:rsidRDefault="00C12244" w:rsidP="00A50C69">
      <w:r>
        <w:separator/>
      </w:r>
    </w:p>
  </w:endnote>
  <w:endnote w:type="continuationSeparator" w:id="0">
    <w:p w14:paraId="33F74C14" w14:textId="77777777" w:rsidR="00C12244" w:rsidRDefault="00C12244" w:rsidP="00A5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E008" w14:textId="77777777" w:rsidR="00C12244" w:rsidRDefault="00C12244" w:rsidP="00A50C69">
      <w:r>
        <w:separator/>
      </w:r>
    </w:p>
  </w:footnote>
  <w:footnote w:type="continuationSeparator" w:id="0">
    <w:p w14:paraId="54192223" w14:textId="77777777" w:rsidR="00C12244" w:rsidRDefault="00C12244" w:rsidP="00A5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80745"/>
      <w:docPartObj>
        <w:docPartGallery w:val="Page Numbers (Top of Page)"/>
        <w:docPartUnique/>
      </w:docPartObj>
    </w:sdtPr>
    <w:sdtEndPr>
      <w:rPr>
        <w:noProof/>
      </w:rPr>
    </w:sdtEndPr>
    <w:sdtContent>
      <w:p w14:paraId="353621F4" w14:textId="345AE55F" w:rsidR="00104CD7" w:rsidRDefault="00104CD7">
        <w:pPr>
          <w:pStyle w:val="Header"/>
          <w:jc w:val="center"/>
        </w:pPr>
        <w:r>
          <w:fldChar w:fldCharType="begin"/>
        </w:r>
        <w:r>
          <w:instrText xml:space="preserve"> PAGE   \* MERGEFORMAT </w:instrText>
        </w:r>
        <w:r>
          <w:fldChar w:fldCharType="separate"/>
        </w:r>
        <w:r w:rsidR="002B2817">
          <w:rPr>
            <w:noProof/>
          </w:rPr>
          <w:t>6</w:t>
        </w:r>
        <w:r>
          <w:rPr>
            <w:noProof/>
          </w:rPr>
          <w:fldChar w:fldCharType="end"/>
        </w:r>
      </w:p>
    </w:sdtContent>
  </w:sdt>
  <w:p w14:paraId="3B628A70" w14:textId="77777777" w:rsidR="00104CD7" w:rsidRDefault="00104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11C0F"/>
    <w:multiLevelType w:val="hybridMultilevel"/>
    <w:tmpl w:val="40F424BA"/>
    <w:lvl w:ilvl="0" w:tplc="82462A04">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395E63"/>
    <w:multiLevelType w:val="hybridMultilevel"/>
    <w:tmpl w:val="6FC20434"/>
    <w:lvl w:ilvl="0" w:tplc="7B90AE04">
      <w:start w:val="1"/>
      <w:numFmt w:val="decimal"/>
      <w:lvlText w:val="%1."/>
      <w:lvlJc w:val="left"/>
      <w:pPr>
        <w:tabs>
          <w:tab w:val="num" w:pos="720"/>
        </w:tabs>
        <w:ind w:left="720" w:hanging="360"/>
      </w:pPr>
    </w:lvl>
    <w:lvl w:ilvl="1" w:tplc="64DE1642" w:tentative="1">
      <w:start w:val="1"/>
      <w:numFmt w:val="decimal"/>
      <w:lvlText w:val="%2."/>
      <w:lvlJc w:val="left"/>
      <w:pPr>
        <w:tabs>
          <w:tab w:val="num" w:pos="1440"/>
        </w:tabs>
        <w:ind w:left="1440" w:hanging="360"/>
      </w:pPr>
    </w:lvl>
    <w:lvl w:ilvl="2" w:tplc="46FA5FCA" w:tentative="1">
      <w:start w:val="1"/>
      <w:numFmt w:val="decimal"/>
      <w:lvlText w:val="%3."/>
      <w:lvlJc w:val="left"/>
      <w:pPr>
        <w:tabs>
          <w:tab w:val="num" w:pos="2160"/>
        </w:tabs>
        <w:ind w:left="2160" w:hanging="360"/>
      </w:pPr>
    </w:lvl>
    <w:lvl w:ilvl="3" w:tplc="1E3AE9F0" w:tentative="1">
      <w:start w:val="1"/>
      <w:numFmt w:val="decimal"/>
      <w:lvlText w:val="%4."/>
      <w:lvlJc w:val="left"/>
      <w:pPr>
        <w:tabs>
          <w:tab w:val="num" w:pos="2880"/>
        </w:tabs>
        <w:ind w:left="2880" w:hanging="360"/>
      </w:pPr>
    </w:lvl>
    <w:lvl w:ilvl="4" w:tplc="451CB5E2" w:tentative="1">
      <w:start w:val="1"/>
      <w:numFmt w:val="decimal"/>
      <w:lvlText w:val="%5."/>
      <w:lvlJc w:val="left"/>
      <w:pPr>
        <w:tabs>
          <w:tab w:val="num" w:pos="3600"/>
        </w:tabs>
        <w:ind w:left="3600" w:hanging="360"/>
      </w:pPr>
    </w:lvl>
    <w:lvl w:ilvl="5" w:tplc="38AA362C" w:tentative="1">
      <w:start w:val="1"/>
      <w:numFmt w:val="decimal"/>
      <w:lvlText w:val="%6."/>
      <w:lvlJc w:val="left"/>
      <w:pPr>
        <w:tabs>
          <w:tab w:val="num" w:pos="4320"/>
        </w:tabs>
        <w:ind w:left="4320" w:hanging="360"/>
      </w:pPr>
    </w:lvl>
    <w:lvl w:ilvl="6" w:tplc="BC9AFDB6" w:tentative="1">
      <w:start w:val="1"/>
      <w:numFmt w:val="decimal"/>
      <w:lvlText w:val="%7."/>
      <w:lvlJc w:val="left"/>
      <w:pPr>
        <w:tabs>
          <w:tab w:val="num" w:pos="5040"/>
        </w:tabs>
        <w:ind w:left="5040" w:hanging="360"/>
      </w:pPr>
    </w:lvl>
    <w:lvl w:ilvl="7" w:tplc="B59E1D20" w:tentative="1">
      <w:start w:val="1"/>
      <w:numFmt w:val="decimal"/>
      <w:lvlText w:val="%8."/>
      <w:lvlJc w:val="left"/>
      <w:pPr>
        <w:tabs>
          <w:tab w:val="num" w:pos="5760"/>
        </w:tabs>
        <w:ind w:left="5760" w:hanging="360"/>
      </w:pPr>
    </w:lvl>
    <w:lvl w:ilvl="8" w:tplc="A248377C" w:tentative="1">
      <w:start w:val="1"/>
      <w:numFmt w:val="decimal"/>
      <w:lvlText w:val="%9."/>
      <w:lvlJc w:val="left"/>
      <w:pPr>
        <w:tabs>
          <w:tab w:val="num" w:pos="6480"/>
        </w:tabs>
        <w:ind w:left="6480" w:hanging="360"/>
      </w:pPr>
    </w:lvl>
  </w:abstractNum>
  <w:abstractNum w:abstractNumId="2" w15:restartNumberingAfterBreak="0">
    <w:nsid w:val="6BDD46ED"/>
    <w:multiLevelType w:val="hybridMultilevel"/>
    <w:tmpl w:val="7098F128"/>
    <w:lvl w:ilvl="0" w:tplc="D7488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97071E"/>
    <w:multiLevelType w:val="hybridMultilevel"/>
    <w:tmpl w:val="80F4AAB0"/>
    <w:lvl w:ilvl="0" w:tplc="0DBAE4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7272543">
    <w:abstractNumId w:val="2"/>
  </w:num>
  <w:num w:numId="2" w16cid:durableId="465437665">
    <w:abstractNumId w:val="0"/>
  </w:num>
  <w:num w:numId="3" w16cid:durableId="769085711">
    <w:abstractNumId w:val="3"/>
  </w:num>
  <w:num w:numId="4" w16cid:durableId="92472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42"/>
    <w:rsid w:val="000045EF"/>
    <w:rsid w:val="00007075"/>
    <w:rsid w:val="000128EE"/>
    <w:rsid w:val="000145BA"/>
    <w:rsid w:val="00016146"/>
    <w:rsid w:val="000249D9"/>
    <w:rsid w:val="00033073"/>
    <w:rsid w:val="00040E4F"/>
    <w:rsid w:val="00041A66"/>
    <w:rsid w:val="00042968"/>
    <w:rsid w:val="0004497E"/>
    <w:rsid w:val="000476E4"/>
    <w:rsid w:val="00054CF8"/>
    <w:rsid w:val="000600AA"/>
    <w:rsid w:val="00062148"/>
    <w:rsid w:val="00063D84"/>
    <w:rsid w:val="00071801"/>
    <w:rsid w:val="000734DE"/>
    <w:rsid w:val="00073F29"/>
    <w:rsid w:val="00074BFB"/>
    <w:rsid w:val="0007681B"/>
    <w:rsid w:val="0007711B"/>
    <w:rsid w:val="0008697A"/>
    <w:rsid w:val="00086AE0"/>
    <w:rsid w:val="00091A9D"/>
    <w:rsid w:val="00097119"/>
    <w:rsid w:val="000A022C"/>
    <w:rsid w:val="000B384E"/>
    <w:rsid w:val="000B54D0"/>
    <w:rsid w:val="000C2492"/>
    <w:rsid w:val="000D1204"/>
    <w:rsid w:val="000D2B38"/>
    <w:rsid w:val="000D50C5"/>
    <w:rsid w:val="000F08EB"/>
    <w:rsid w:val="000F0EAE"/>
    <w:rsid w:val="000F1496"/>
    <w:rsid w:val="000F5A5B"/>
    <w:rsid w:val="0010246C"/>
    <w:rsid w:val="001045F3"/>
    <w:rsid w:val="00104CD7"/>
    <w:rsid w:val="00115CAE"/>
    <w:rsid w:val="00117366"/>
    <w:rsid w:val="00120064"/>
    <w:rsid w:val="00125022"/>
    <w:rsid w:val="00125368"/>
    <w:rsid w:val="0012734E"/>
    <w:rsid w:val="00134539"/>
    <w:rsid w:val="00134ABA"/>
    <w:rsid w:val="00137F02"/>
    <w:rsid w:val="001429F0"/>
    <w:rsid w:val="00147798"/>
    <w:rsid w:val="00153056"/>
    <w:rsid w:val="001629B3"/>
    <w:rsid w:val="0016339C"/>
    <w:rsid w:val="001646C7"/>
    <w:rsid w:val="00165F2A"/>
    <w:rsid w:val="0017118B"/>
    <w:rsid w:val="001722AF"/>
    <w:rsid w:val="00176F5A"/>
    <w:rsid w:val="00177078"/>
    <w:rsid w:val="0018449D"/>
    <w:rsid w:val="00186403"/>
    <w:rsid w:val="001A128F"/>
    <w:rsid w:val="001A1EBB"/>
    <w:rsid w:val="001A37F0"/>
    <w:rsid w:val="001A4CF2"/>
    <w:rsid w:val="001A7B98"/>
    <w:rsid w:val="001B0584"/>
    <w:rsid w:val="001B17CA"/>
    <w:rsid w:val="001B1DCB"/>
    <w:rsid w:val="001C0701"/>
    <w:rsid w:val="001C0F96"/>
    <w:rsid w:val="001C2742"/>
    <w:rsid w:val="001C5D1F"/>
    <w:rsid w:val="001D4AAD"/>
    <w:rsid w:val="001E3689"/>
    <w:rsid w:val="001E3BAF"/>
    <w:rsid w:val="001E4815"/>
    <w:rsid w:val="001E5B7F"/>
    <w:rsid w:val="001E6199"/>
    <w:rsid w:val="001F0C9E"/>
    <w:rsid w:val="001F56EB"/>
    <w:rsid w:val="001F7901"/>
    <w:rsid w:val="00201294"/>
    <w:rsid w:val="0020169E"/>
    <w:rsid w:val="002049D3"/>
    <w:rsid w:val="00206DC3"/>
    <w:rsid w:val="00215237"/>
    <w:rsid w:val="00216E74"/>
    <w:rsid w:val="00217D85"/>
    <w:rsid w:val="0022550E"/>
    <w:rsid w:val="002303BC"/>
    <w:rsid w:val="002311C8"/>
    <w:rsid w:val="00232952"/>
    <w:rsid w:val="0023754D"/>
    <w:rsid w:val="002517DE"/>
    <w:rsid w:val="00253ABE"/>
    <w:rsid w:val="00256C31"/>
    <w:rsid w:val="00256DC3"/>
    <w:rsid w:val="00260FEE"/>
    <w:rsid w:val="002614DB"/>
    <w:rsid w:val="00267C83"/>
    <w:rsid w:val="0028156A"/>
    <w:rsid w:val="00284F2E"/>
    <w:rsid w:val="0029173B"/>
    <w:rsid w:val="002972F1"/>
    <w:rsid w:val="002A02FE"/>
    <w:rsid w:val="002A1EF3"/>
    <w:rsid w:val="002A3456"/>
    <w:rsid w:val="002A4747"/>
    <w:rsid w:val="002A5D26"/>
    <w:rsid w:val="002A6513"/>
    <w:rsid w:val="002A6601"/>
    <w:rsid w:val="002A706C"/>
    <w:rsid w:val="002A7B55"/>
    <w:rsid w:val="002B21C5"/>
    <w:rsid w:val="002B2817"/>
    <w:rsid w:val="002B347C"/>
    <w:rsid w:val="002B5AA8"/>
    <w:rsid w:val="002C1769"/>
    <w:rsid w:val="002C3DAC"/>
    <w:rsid w:val="002C46D8"/>
    <w:rsid w:val="002C757B"/>
    <w:rsid w:val="002D17CF"/>
    <w:rsid w:val="002D2406"/>
    <w:rsid w:val="002D458C"/>
    <w:rsid w:val="002D52BF"/>
    <w:rsid w:val="002E4B3B"/>
    <w:rsid w:val="002E4D4B"/>
    <w:rsid w:val="002E7B77"/>
    <w:rsid w:val="003022D2"/>
    <w:rsid w:val="003037E1"/>
    <w:rsid w:val="00304B7B"/>
    <w:rsid w:val="00307C1E"/>
    <w:rsid w:val="00307DFC"/>
    <w:rsid w:val="00310508"/>
    <w:rsid w:val="00312FFB"/>
    <w:rsid w:val="003162FB"/>
    <w:rsid w:val="00317420"/>
    <w:rsid w:val="00320F2B"/>
    <w:rsid w:val="003241DE"/>
    <w:rsid w:val="00324A9D"/>
    <w:rsid w:val="003300B4"/>
    <w:rsid w:val="003336D5"/>
    <w:rsid w:val="00336EA9"/>
    <w:rsid w:val="003426CF"/>
    <w:rsid w:val="00344C75"/>
    <w:rsid w:val="0035125F"/>
    <w:rsid w:val="00362727"/>
    <w:rsid w:val="00363351"/>
    <w:rsid w:val="00365CE4"/>
    <w:rsid w:val="0037043E"/>
    <w:rsid w:val="00370D89"/>
    <w:rsid w:val="00371060"/>
    <w:rsid w:val="003715D9"/>
    <w:rsid w:val="00371693"/>
    <w:rsid w:val="003716A5"/>
    <w:rsid w:val="00374E62"/>
    <w:rsid w:val="00376244"/>
    <w:rsid w:val="003824F3"/>
    <w:rsid w:val="00386B0F"/>
    <w:rsid w:val="00386FBC"/>
    <w:rsid w:val="00390DA8"/>
    <w:rsid w:val="003920EA"/>
    <w:rsid w:val="0039503E"/>
    <w:rsid w:val="003950B8"/>
    <w:rsid w:val="00397E63"/>
    <w:rsid w:val="003A6DAA"/>
    <w:rsid w:val="003B056F"/>
    <w:rsid w:val="003B32A6"/>
    <w:rsid w:val="003C24A3"/>
    <w:rsid w:val="003C4C60"/>
    <w:rsid w:val="003D1BFD"/>
    <w:rsid w:val="003D1DE7"/>
    <w:rsid w:val="003D4A18"/>
    <w:rsid w:val="003D5940"/>
    <w:rsid w:val="003E60EB"/>
    <w:rsid w:val="003E6F3D"/>
    <w:rsid w:val="003F646A"/>
    <w:rsid w:val="004001BD"/>
    <w:rsid w:val="00400216"/>
    <w:rsid w:val="004002F8"/>
    <w:rsid w:val="00401B4A"/>
    <w:rsid w:val="00405775"/>
    <w:rsid w:val="0041553D"/>
    <w:rsid w:val="004242CC"/>
    <w:rsid w:val="00425AF3"/>
    <w:rsid w:val="00426693"/>
    <w:rsid w:val="0043078F"/>
    <w:rsid w:val="00432D1D"/>
    <w:rsid w:val="0045235F"/>
    <w:rsid w:val="0045278C"/>
    <w:rsid w:val="00454042"/>
    <w:rsid w:val="0046271D"/>
    <w:rsid w:val="00462BFB"/>
    <w:rsid w:val="00463739"/>
    <w:rsid w:val="00463F0A"/>
    <w:rsid w:val="00467E2C"/>
    <w:rsid w:val="00473594"/>
    <w:rsid w:val="00473C03"/>
    <w:rsid w:val="00473C55"/>
    <w:rsid w:val="00474282"/>
    <w:rsid w:val="00475215"/>
    <w:rsid w:val="0047694F"/>
    <w:rsid w:val="004801C1"/>
    <w:rsid w:val="004802D2"/>
    <w:rsid w:val="00485D95"/>
    <w:rsid w:val="00486BA5"/>
    <w:rsid w:val="00487FA6"/>
    <w:rsid w:val="00491F64"/>
    <w:rsid w:val="004941A7"/>
    <w:rsid w:val="0049484F"/>
    <w:rsid w:val="00494B0B"/>
    <w:rsid w:val="004979CB"/>
    <w:rsid w:val="004A6170"/>
    <w:rsid w:val="004A7408"/>
    <w:rsid w:val="004B1BC9"/>
    <w:rsid w:val="004B1E52"/>
    <w:rsid w:val="004B2DD6"/>
    <w:rsid w:val="004C2681"/>
    <w:rsid w:val="004C2B67"/>
    <w:rsid w:val="004C3670"/>
    <w:rsid w:val="004D00D1"/>
    <w:rsid w:val="004D14C7"/>
    <w:rsid w:val="004D2A78"/>
    <w:rsid w:val="004D65EF"/>
    <w:rsid w:val="004E03FD"/>
    <w:rsid w:val="004E2180"/>
    <w:rsid w:val="004E5BE7"/>
    <w:rsid w:val="004E747A"/>
    <w:rsid w:val="004F2ECA"/>
    <w:rsid w:val="0050633E"/>
    <w:rsid w:val="00507ECE"/>
    <w:rsid w:val="005111C1"/>
    <w:rsid w:val="005166EB"/>
    <w:rsid w:val="005178DB"/>
    <w:rsid w:val="00521850"/>
    <w:rsid w:val="00532FE2"/>
    <w:rsid w:val="00545440"/>
    <w:rsid w:val="0055057A"/>
    <w:rsid w:val="00551395"/>
    <w:rsid w:val="00552599"/>
    <w:rsid w:val="0055548E"/>
    <w:rsid w:val="0056062F"/>
    <w:rsid w:val="00561651"/>
    <w:rsid w:val="00561A5E"/>
    <w:rsid w:val="00562E25"/>
    <w:rsid w:val="00572BE0"/>
    <w:rsid w:val="0057487F"/>
    <w:rsid w:val="005749DF"/>
    <w:rsid w:val="0057698F"/>
    <w:rsid w:val="005829C6"/>
    <w:rsid w:val="00586A2C"/>
    <w:rsid w:val="005924BC"/>
    <w:rsid w:val="00595687"/>
    <w:rsid w:val="00597DA9"/>
    <w:rsid w:val="005A42E5"/>
    <w:rsid w:val="005A46CF"/>
    <w:rsid w:val="005A5CC2"/>
    <w:rsid w:val="005A6784"/>
    <w:rsid w:val="005B51A4"/>
    <w:rsid w:val="005B5CA6"/>
    <w:rsid w:val="005C2DBC"/>
    <w:rsid w:val="005C33D0"/>
    <w:rsid w:val="005C4140"/>
    <w:rsid w:val="005D332C"/>
    <w:rsid w:val="005D5400"/>
    <w:rsid w:val="005D5930"/>
    <w:rsid w:val="005E0300"/>
    <w:rsid w:val="005E2CD4"/>
    <w:rsid w:val="005E4991"/>
    <w:rsid w:val="005F1D53"/>
    <w:rsid w:val="005F2F33"/>
    <w:rsid w:val="005F7C2C"/>
    <w:rsid w:val="00600878"/>
    <w:rsid w:val="006016D6"/>
    <w:rsid w:val="00602E3F"/>
    <w:rsid w:val="00612CF2"/>
    <w:rsid w:val="00613302"/>
    <w:rsid w:val="0061726D"/>
    <w:rsid w:val="0062101E"/>
    <w:rsid w:val="006217D5"/>
    <w:rsid w:val="00622085"/>
    <w:rsid w:val="0062441E"/>
    <w:rsid w:val="00626761"/>
    <w:rsid w:val="00626DA9"/>
    <w:rsid w:val="00630C45"/>
    <w:rsid w:val="00631077"/>
    <w:rsid w:val="006324D8"/>
    <w:rsid w:val="006343F6"/>
    <w:rsid w:val="00635401"/>
    <w:rsid w:val="00635B18"/>
    <w:rsid w:val="00642261"/>
    <w:rsid w:val="00650009"/>
    <w:rsid w:val="00651F97"/>
    <w:rsid w:val="00652DB9"/>
    <w:rsid w:val="006578B8"/>
    <w:rsid w:val="006610E5"/>
    <w:rsid w:val="00663FDA"/>
    <w:rsid w:val="00672365"/>
    <w:rsid w:val="00673DB0"/>
    <w:rsid w:val="00675739"/>
    <w:rsid w:val="00682A1A"/>
    <w:rsid w:val="00684100"/>
    <w:rsid w:val="00686E0A"/>
    <w:rsid w:val="00695CF9"/>
    <w:rsid w:val="00697E0E"/>
    <w:rsid w:val="006A5D4A"/>
    <w:rsid w:val="006A683D"/>
    <w:rsid w:val="006B4C37"/>
    <w:rsid w:val="006B62A2"/>
    <w:rsid w:val="006D00C3"/>
    <w:rsid w:val="006D5EDE"/>
    <w:rsid w:val="006E5E43"/>
    <w:rsid w:val="006E617A"/>
    <w:rsid w:val="006E6D8F"/>
    <w:rsid w:val="006E7723"/>
    <w:rsid w:val="006F7D12"/>
    <w:rsid w:val="007012ED"/>
    <w:rsid w:val="00703CB3"/>
    <w:rsid w:val="007105B0"/>
    <w:rsid w:val="00710E22"/>
    <w:rsid w:val="0071208B"/>
    <w:rsid w:val="00714759"/>
    <w:rsid w:val="00717211"/>
    <w:rsid w:val="00727C31"/>
    <w:rsid w:val="00727C81"/>
    <w:rsid w:val="0074177A"/>
    <w:rsid w:val="00742FA9"/>
    <w:rsid w:val="007449A4"/>
    <w:rsid w:val="007450C3"/>
    <w:rsid w:val="007461BB"/>
    <w:rsid w:val="00746F9E"/>
    <w:rsid w:val="00751639"/>
    <w:rsid w:val="00752226"/>
    <w:rsid w:val="00760029"/>
    <w:rsid w:val="00760883"/>
    <w:rsid w:val="00760FE8"/>
    <w:rsid w:val="00764C8A"/>
    <w:rsid w:val="00772BA3"/>
    <w:rsid w:val="00773A2D"/>
    <w:rsid w:val="0078267E"/>
    <w:rsid w:val="00783E17"/>
    <w:rsid w:val="00792200"/>
    <w:rsid w:val="00794DDF"/>
    <w:rsid w:val="007A32BD"/>
    <w:rsid w:val="007B3DEA"/>
    <w:rsid w:val="007B68CC"/>
    <w:rsid w:val="007B7AAD"/>
    <w:rsid w:val="007C7ED4"/>
    <w:rsid w:val="007D5CC4"/>
    <w:rsid w:val="007E7E66"/>
    <w:rsid w:val="007F4343"/>
    <w:rsid w:val="007F5D17"/>
    <w:rsid w:val="007F6C72"/>
    <w:rsid w:val="00800AC5"/>
    <w:rsid w:val="00801BF3"/>
    <w:rsid w:val="008041FF"/>
    <w:rsid w:val="00805B9B"/>
    <w:rsid w:val="00807A85"/>
    <w:rsid w:val="00816294"/>
    <w:rsid w:val="00816D50"/>
    <w:rsid w:val="008178FE"/>
    <w:rsid w:val="00826B76"/>
    <w:rsid w:val="008314A0"/>
    <w:rsid w:val="00831F41"/>
    <w:rsid w:val="00842287"/>
    <w:rsid w:val="00844481"/>
    <w:rsid w:val="00845E46"/>
    <w:rsid w:val="0085387C"/>
    <w:rsid w:val="0085663D"/>
    <w:rsid w:val="00856B24"/>
    <w:rsid w:val="00864246"/>
    <w:rsid w:val="00865B77"/>
    <w:rsid w:val="008717B1"/>
    <w:rsid w:val="00874168"/>
    <w:rsid w:val="008743E9"/>
    <w:rsid w:val="00884BA3"/>
    <w:rsid w:val="00884E79"/>
    <w:rsid w:val="0089130E"/>
    <w:rsid w:val="00892042"/>
    <w:rsid w:val="008A64A7"/>
    <w:rsid w:val="008A66E1"/>
    <w:rsid w:val="008B7C2E"/>
    <w:rsid w:val="008C2D75"/>
    <w:rsid w:val="008C6D88"/>
    <w:rsid w:val="008C7029"/>
    <w:rsid w:val="008D16CC"/>
    <w:rsid w:val="008D1D4C"/>
    <w:rsid w:val="008D20DE"/>
    <w:rsid w:val="008E08AF"/>
    <w:rsid w:val="008E15C6"/>
    <w:rsid w:val="008E18F0"/>
    <w:rsid w:val="008E61C5"/>
    <w:rsid w:val="008F0DC7"/>
    <w:rsid w:val="008F22B2"/>
    <w:rsid w:val="008F3D37"/>
    <w:rsid w:val="008F443A"/>
    <w:rsid w:val="0090092D"/>
    <w:rsid w:val="00900A0D"/>
    <w:rsid w:val="00902C1E"/>
    <w:rsid w:val="009030AA"/>
    <w:rsid w:val="00904600"/>
    <w:rsid w:val="009065B1"/>
    <w:rsid w:val="009078EE"/>
    <w:rsid w:val="00920AA0"/>
    <w:rsid w:val="00924285"/>
    <w:rsid w:val="00926CAF"/>
    <w:rsid w:val="00926F38"/>
    <w:rsid w:val="00933105"/>
    <w:rsid w:val="00933581"/>
    <w:rsid w:val="009344AB"/>
    <w:rsid w:val="00934616"/>
    <w:rsid w:val="00934DE9"/>
    <w:rsid w:val="00940EA9"/>
    <w:rsid w:val="00941C9F"/>
    <w:rsid w:val="0094412D"/>
    <w:rsid w:val="009504C4"/>
    <w:rsid w:val="009507AA"/>
    <w:rsid w:val="00950F84"/>
    <w:rsid w:val="0095262B"/>
    <w:rsid w:val="009561A4"/>
    <w:rsid w:val="009573DA"/>
    <w:rsid w:val="00961BA6"/>
    <w:rsid w:val="0096488D"/>
    <w:rsid w:val="009659F8"/>
    <w:rsid w:val="00970849"/>
    <w:rsid w:val="00973862"/>
    <w:rsid w:val="00974713"/>
    <w:rsid w:val="0097789E"/>
    <w:rsid w:val="009820DE"/>
    <w:rsid w:val="009831C4"/>
    <w:rsid w:val="00986F57"/>
    <w:rsid w:val="00993460"/>
    <w:rsid w:val="0099486F"/>
    <w:rsid w:val="00994D7C"/>
    <w:rsid w:val="00996069"/>
    <w:rsid w:val="009971C7"/>
    <w:rsid w:val="0099725F"/>
    <w:rsid w:val="009B4082"/>
    <w:rsid w:val="009B5652"/>
    <w:rsid w:val="009C0E0C"/>
    <w:rsid w:val="009C296F"/>
    <w:rsid w:val="009C4594"/>
    <w:rsid w:val="009C56E7"/>
    <w:rsid w:val="009C5F85"/>
    <w:rsid w:val="009D1654"/>
    <w:rsid w:val="009D2206"/>
    <w:rsid w:val="009E0644"/>
    <w:rsid w:val="009E09EB"/>
    <w:rsid w:val="009E473C"/>
    <w:rsid w:val="009E4F83"/>
    <w:rsid w:val="009E6250"/>
    <w:rsid w:val="009E7220"/>
    <w:rsid w:val="009F0302"/>
    <w:rsid w:val="009F224D"/>
    <w:rsid w:val="009F2F87"/>
    <w:rsid w:val="009F52AD"/>
    <w:rsid w:val="00A04381"/>
    <w:rsid w:val="00A103C0"/>
    <w:rsid w:val="00A11A78"/>
    <w:rsid w:val="00A129A0"/>
    <w:rsid w:val="00A215A2"/>
    <w:rsid w:val="00A21F06"/>
    <w:rsid w:val="00A25684"/>
    <w:rsid w:val="00A26F51"/>
    <w:rsid w:val="00A2760A"/>
    <w:rsid w:val="00A312FC"/>
    <w:rsid w:val="00A34DF1"/>
    <w:rsid w:val="00A37C40"/>
    <w:rsid w:val="00A40B7F"/>
    <w:rsid w:val="00A42F3F"/>
    <w:rsid w:val="00A50C69"/>
    <w:rsid w:val="00A62B82"/>
    <w:rsid w:val="00A64EEC"/>
    <w:rsid w:val="00A6677F"/>
    <w:rsid w:val="00A70E4C"/>
    <w:rsid w:val="00A76135"/>
    <w:rsid w:val="00A766C5"/>
    <w:rsid w:val="00A81B2D"/>
    <w:rsid w:val="00A852FA"/>
    <w:rsid w:val="00A85308"/>
    <w:rsid w:val="00A873AD"/>
    <w:rsid w:val="00A942E0"/>
    <w:rsid w:val="00A94C09"/>
    <w:rsid w:val="00A95082"/>
    <w:rsid w:val="00A96C3E"/>
    <w:rsid w:val="00A96EEF"/>
    <w:rsid w:val="00AA03C6"/>
    <w:rsid w:val="00AA4A5E"/>
    <w:rsid w:val="00AC4B3F"/>
    <w:rsid w:val="00AC53D9"/>
    <w:rsid w:val="00AD2F0B"/>
    <w:rsid w:val="00AD5759"/>
    <w:rsid w:val="00AD6311"/>
    <w:rsid w:val="00AD6521"/>
    <w:rsid w:val="00AD7B01"/>
    <w:rsid w:val="00AE0080"/>
    <w:rsid w:val="00AE29DD"/>
    <w:rsid w:val="00AE5E32"/>
    <w:rsid w:val="00AE7BA9"/>
    <w:rsid w:val="00AF48E4"/>
    <w:rsid w:val="00AF5988"/>
    <w:rsid w:val="00AF60AB"/>
    <w:rsid w:val="00AF7F61"/>
    <w:rsid w:val="00B107C4"/>
    <w:rsid w:val="00B160DA"/>
    <w:rsid w:val="00B211EC"/>
    <w:rsid w:val="00B2333F"/>
    <w:rsid w:val="00B33935"/>
    <w:rsid w:val="00B40FBD"/>
    <w:rsid w:val="00B41DBC"/>
    <w:rsid w:val="00B44C11"/>
    <w:rsid w:val="00B46500"/>
    <w:rsid w:val="00B4785A"/>
    <w:rsid w:val="00B47F67"/>
    <w:rsid w:val="00B502B2"/>
    <w:rsid w:val="00B52566"/>
    <w:rsid w:val="00B536E9"/>
    <w:rsid w:val="00B53966"/>
    <w:rsid w:val="00B55072"/>
    <w:rsid w:val="00B55992"/>
    <w:rsid w:val="00B620CF"/>
    <w:rsid w:val="00B65A03"/>
    <w:rsid w:val="00B67207"/>
    <w:rsid w:val="00B71F7B"/>
    <w:rsid w:val="00B72137"/>
    <w:rsid w:val="00B72B4F"/>
    <w:rsid w:val="00B7301E"/>
    <w:rsid w:val="00B77140"/>
    <w:rsid w:val="00B80916"/>
    <w:rsid w:val="00B836E0"/>
    <w:rsid w:val="00B83A8D"/>
    <w:rsid w:val="00B8691C"/>
    <w:rsid w:val="00B916E5"/>
    <w:rsid w:val="00B92EF7"/>
    <w:rsid w:val="00B9521A"/>
    <w:rsid w:val="00B97430"/>
    <w:rsid w:val="00BA0035"/>
    <w:rsid w:val="00BA1CE0"/>
    <w:rsid w:val="00BB1006"/>
    <w:rsid w:val="00BB265B"/>
    <w:rsid w:val="00BC0410"/>
    <w:rsid w:val="00BD1772"/>
    <w:rsid w:val="00BD7D30"/>
    <w:rsid w:val="00BE020E"/>
    <w:rsid w:val="00BE065B"/>
    <w:rsid w:val="00BE1F9B"/>
    <w:rsid w:val="00BE3405"/>
    <w:rsid w:val="00BE5004"/>
    <w:rsid w:val="00BF197D"/>
    <w:rsid w:val="00C000FB"/>
    <w:rsid w:val="00C0225B"/>
    <w:rsid w:val="00C05161"/>
    <w:rsid w:val="00C0730B"/>
    <w:rsid w:val="00C10974"/>
    <w:rsid w:val="00C11FF7"/>
    <w:rsid w:val="00C12244"/>
    <w:rsid w:val="00C12B50"/>
    <w:rsid w:val="00C14BE5"/>
    <w:rsid w:val="00C15A83"/>
    <w:rsid w:val="00C226EE"/>
    <w:rsid w:val="00C23984"/>
    <w:rsid w:val="00C24E9A"/>
    <w:rsid w:val="00C3187D"/>
    <w:rsid w:val="00C32459"/>
    <w:rsid w:val="00C32B4A"/>
    <w:rsid w:val="00C35A68"/>
    <w:rsid w:val="00C41BA7"/>
    <w:rsid w:val="00C420CF"/>
    <w:rsid w:val="00C44159"/>
    <w:rsid w:val="00C46B77"/>
    <w:rsid w:val="00C506E7"/>
    <w:rsid w:val="00C53122"/>
    <w:rsid w:val="00C543CF"/>
    <w:rsid w:val="00C61A98"/>
    <w:rsid w:val="00C660E5"/>
    <w:rsid w:val="00C67A45"/>
    <w:rsid w:val="00C762B4"/>
    <w:rsid w:val="00C766D9"/>
    <w:rsid w:val="00C82861"/>
    <w:rsid w:val="00C84D1F"/>
    <w:rsid w:val="00C862C6"/>
    <w:rsid w:val="00C86586"/>
    <w:rsid w:val="00C91993"/>
    <w:rsid w:val="00C922F0"/>
    <w:rsid w:val="00C92B6E"/>
    <w:rsid w:val="00C92F1D"/>
    <w:rsid w:val="00C9407D"/>
    <w:rsid w:val="00C9458B"/>
    <w:rsid w:val="00C9474D"/>
    <w:rsid w:val="00CA0C07"/>
    <w:rsid w:val="00CA6BD0"/>
    <w:rsid w:val="00CA7BEA"/>
    <w:rsid w:val="00CB30B7"/>
    <w:rsid w:val="00CB3D10"/>
    <w:rsid w:val="00CB5910"/>
    <w:rsid w:val="00CB7781"/>
    <w:rsid w:val="00CC151A"/>
    <w:rsid w:val="00CC3CD6"/>
    <w:rsid w:val="00CD2695"/>
    <w:rsid w:val="00CD2EA8"/>
    <w:rsid w:val="00CD333D"/>
    <w:rsid w:val="00CD34AC"/>
    <w:rsid w:val="00CD3F2B"/>
    <w:rsid w:val="00CD673C"/>
    <w:rsid w:val="00CE0235"/>
    <w:rsid w:val="00CF43E0"/>
    <w:rsid w:val="00CF60D8"/>
    <w:rsid w:val="00D0298E"/>
    <w:rsid w:val="00D03A59"/>
    <w:rsid w:val="00D12B9A"/>
    <w:rsid w:val="00D13976"/>
    <w:rsid w:val="00D2635A"/>
    <w:rsid w:val="00D362BC"/>
    <w:rsid w:val="00D37B31"/>
    <w:rsid w:val="00D4091F"/>
    <w:rsid w:val="00D40D3E"/>
    <w:rsid w:val="00D4244B"/>
    <w:rsid w:val="00D44AB6"/>
    <w:rsid w:val="00D47C1E"/>
    <w:rsid w:val="00D512CA"/>
    <w:rsid w:val="00D53C5E"/>
    <w:rsid w:val="00D540EB"/>
    <w:rsid w:val="00D60011"/>
    <w:rsid w:val="00D637E1"/>
    <w:rsid w:val="00D64B1B"/>
    <w:rsid w:val="00D66A42"/>
    <w:rsid w:val="00D72F94"/>
    <w:rsid w:val="00D8048B"/>
    <w:rsid w:val="00D85790"/>
    <w:rsid w:val="00D85D9E"/>
    <w:rsid w:val="00D86314"/>
    <w:rsid w:val="00D86A64"/>
    <w:rsid w:val="00D951D0"/>
    <w:rsid w:val="00DA4F97"/>
    <w:rsid w:val="00DA559E"/>
    <w:rsid w:val="00DA6EB2"/>
    <w:rsid w:val="00DA715D"/>
    <w:rsid w:val="00DB0D23"/>
    <w:rsid w:val="00DB17DC"/>
    <w:rsid w:val="00DB4AAD"/>
    <w:rsid w:val="00DC151A"/>
    <w:rsid w:val="00DD427B"/>
    <w:rsid w:val="00DD4F9E"/>
    <w:rsid w:val="00DD75D8"/>
    <w:rsid w:val="00DE6EEA"/>
    <w:rsid w:val="00DF1A06"/>
    <w:rsid w:val="00DF1F6B"/>
    <w:rsid w:val="00DF68C7"/>
    <w:rsid w:val="00E05934"/>
    <w:rsid w:val="00E07E18"/>
    <w:rsid w:val="00E1186A"/>
    <w:rsid w:val="00E13F37"/>
    <w:rsid w:val="00E14150"/>
    <w:rsid w:val="00E17538"/>
    <w:rsid w:val="00E21948"/>
    <w:rsid w:val="00E2666C"/>
    <w:rsid w:val="00E3015B"/>
    <w:rsid w:val="00E3287C"/>
    <w:rsid w:val="00E332B4"/>
    <w:rsid w:val="00E43340"/>
    <w:rsid w:val="00E46773"/>
    <w:rsid w:val="00E522F7"/>
    <w:rsid w:val="00E560F0"/>
    <w:rsid w:val="00E62519"/>
    <w:rsid w:val="00E6432A"/>
    <w:rsid w:val="00E72A80"/>
    <w:rsid w:val="00E80E70"/>
    <w:rsid w:val="00E81392"/>
    <w:rsid w:val="00E9065A"/>
    <w:rsid w:val="00E90EF6"/>
    <w:rsid w:val="00E91B10"/>
    <w:rsid w:val="00E942E1"/>
    <w:rsid w:val="00EA0CD6"/>
    <w:rsid w:val="00EA1E32"/>
    <w:rsid w:val="00EA39C4"/>
    <w:rsid w:val="00EA6F44"/>
    <w:rsid w:val="00EA78C6"/>
    <w:rsid w:val="00EA7D07"/>
    <w:rsid w:val="00EB1A03"/>
    <w:rsid w:val="00EB7C90"/>
    <w:rsid w:val="00EC32B3"/>
    <w:rsid w:val="00EE00CE"/>
    <w:rsid w:val="00EE0AF8"/>
    <w:rsid w:val="00EE1376"/>
    <w:rsid w:val="00EE28C5"/>
    <w:rsid w:val="00EE3669"/>
    <w:rsid w:val="00EE482A"/>
    <w:rsid w:val="00EE4B7E"/>
    <w:rsid w:val="00EE64D4"/>
    <w:rsid w:val="00EE79D3"/>
    <w:rsid w:val="00EE7AD4"/>
    <w:rsid w:val="00EF06E8"/>
    <w:rsid w:val="00F004D3"/>
    <w:rsid w:val="00F06DEB"/>
    <w:rsid w:val="00F1158D"/>
    <w:rsid w:val="00F11E5F"/>
    <w:rsid w:val="00F122CE"/>
    <w:rsid w:val="00F130CF"/>
    <w:rsid w:val="00F147BA"/>
    <w:rsid w:val="00F14BD7"/>
    <w:rsid w:val="00F2266F"/>
    <w:rsid w:val="00F26089"/>
    <w:rsid w:val="00F265C4"/>
    <w:rsid w:val="00F278D7"/>
    <w:rsid w:val="00F320A8"/>
    <w:rsid w:val="00F337F1"/>
    <w:rsid w:val="00F366FF"/>
    <w:rsid w:val="00F42F81"/>
    <w:rsid w:val="00F478E3"/>
    <w:rsid w:val="00F52F8A"/>
    <w:rsid w:val="00F55EE4"/>
    <w:rsid w:val="00F568E5"/>
    <w:rsid w:val="00F56B9D"/>
    <w:rsid w:val="00F61127"/>
    <w:rsid w:val="00F67321"/>
    <w:rsid w:val="00F7101C"/>
    <w:rsid w:val="00F73507"/>
    <w:rsid w:val="00F76580"/>
    <w:rsid w:val="00F77DEE"/>
    <w:rsid w:val="00F817F1"/>
    <w:rsid w:val="00F8287A"/>
    <w:rsid w:val="00F8391A"/>
    <w:rsid w:val="00F85534"/>
    <w:rsid w:val="00F8783E"/>
    <w:rsid w:val="00F90DC1"/>
    <w:rsid w:val="00F93F4A"/>
    <w:rsid w:val="00FA3596"/>
    <w:rsid w:val="00FA4B61"/>
    <w:rsid w:val="00FA5054"/>
    <w:rsid w:val="00FB3D84"/>
    <w:rsid w:val="00FB7E3C"/>
    <w:rsid w:val="00FC7976"/>
    <w:rsid w:val="00FD53BD"/>
    <w:rsid w:val="00FD5BF4"/>
    <w:rsid w:val="00FD7487"/>
    <w:rsid w:val="00FE1D08"/>
    <w:rsid w:val="00FE2F65"/>
    <w:rsid w:val="00FE4752"/>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468E"/>
  <w15:docId w15:val="{ECE468B7-FA76-4AD1-8224-A1F5B21F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7C"/>
    <w:rPr>
      <w:rFonts w:ascii="Segoe UI" w:eastAsia="Times New Roman" w:hAnsi="Segoe UI" w:cs="Segoe UI"/>
      <w:sz w:val="18"/>
      <w:szCs w:val="18"/>
    </w:rPr>
  </w:style>
  <w:style w:type="paragraph" w:styleId="ListParagraph">
    <w:name w:val="List Paragraph"/>
    <w:basedOn w:val="Normal"/>
    <w:uiPriority w:val="34"/>
    <w:qFormat/>
    <w:rsid w:val="00801BF3"/>
    <w:pPr>
      <w:ind w:left="720"/>
      <w:contextualSpacing/>
    </w:pPr>
  </w:style>
  <w:style w:type="character" w:customStyle="1" w:styleId="fontstyle01">
    <w:name w:val="fontstyle01"/>
    <w:rsid w:val="002C46D8"/>
    <w:rPr>
      <w:rFonts w:ascii="TimesNewRomanPSMT" w:hAnsi="TimesNewRomanPSMT" w:hint="default"/>
      <w:b w:val="0"/>
      <w:bCs w:val="0"/>
      <w:i w:val="0"/>
      <w:iCs w:val="0"/>
      <w:color w:val="000000"/>
      <w:sz w:val="28"/>
      <w:szCs w:val="28"/>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ft,Car, Ca, Char"/>
    <w:basedOn w:val="Normal"/>
    <w:link w:val="FootnoteTextChar"/>
    <w:uiPriority w:val="99"/>
    <w:qFormat/>
    <w:rsid w:val="00A50C69"/>
    <w:rPr>
      <w:sz w:val="20"/>
      <w:szCs w:val="20"/>
      <w:lang w:val="en-AU"/>
    </w:rPr>
  </w:style>
  <w:style w:type="character" w:customStyle="1" w:styleId="FootnoteTextChar">
    <w:name w:val="Footnote Text Char"/>
    <w:aliases w:val="single space Char,fn Char,fn Char Char Char Char,footnote text Char,Char Char1,Char Char Char,ALTS FOOTNOTE Char,FOOTNOTES Char,Geneva 9 Char,Font: Geneva 9 Char,Boston 10 Char,f Char,Footnote Text Char Char Char Char Char Char"/>
    <w:basedOn w:val="DefaultParagraphFont"/>
    <w:link w:val="FootnoteText"/>
    <w:uiPriority w:val="99"/>
    <w:qFormat/>
    <w:rsid w:val="00A50C69"/>
    <w:rPr>
      <w:rFonts w:ascii="Times New Roman" w:eastAsia="Times New Roman" w:hAnsi="Times New Roman" w:cs="Times New Roman"/>
      <w:sz w:val="20"/>
      <w:szCs w:val="20"/>
      <w:lang w:val="en-AU"/>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uiPriority w:val="99"/>
    <w:qFormat/>
    <w:rsid w:val="00A50C69"/>
    <w:rPr>
      <w:vertAlign w:val="superscript"/>
    </w:rPr>
  </w:style>
  <w:style w:type="paragraph" w:customStyle="1" w:styleId="4GCharCharChar">
    <w:name w:val="4_G Char Char Char"/>
    <w:basedOn w:val="Normal"/>
    <w:link w:val="FootnoteReference"/>
    <w:uiPriority w:val="99"/>
    <w:qFormat/>
    <w:rsid w:val="00A50C69"/>
    <w:pPr>
      <w:spacing w:before="100" w:line="240" w:lineRule="exact"/>
      <w:jc w:val="both"/>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B55992"/>
    <w:pPr>
      <w:spacing w:before="100" w:beforeAutospacing="1" w:after="100" w:afterAutospacing="1"/>
    </w:pPr>
  </w:style>
  <w:style w:type="character" w:styleId="Emphasis">
    <w:name w:val="Emphasis"/>
    <w:basedOn w:val="DefaultParagraphFont"/>
    <w:uiPriority w:val="20"/>
    <w:qFormat/>
    <w:rsid w:val="00B55992"/>
    <w:rPr>
      <w:i/>
      <w:iCs/>
    </w:rPr>
  </w:style>
  <w:style w:type="character" w:styleId="Strong">
    <w:name w:val="Strong"/>
    <w:basedOn w:val="DefaultParagraphFont"/>
    <w:uiPriority w:val="22"/>
    <w:qFormat/>
    <w:rsid w:val="00B55992"/>
    <w:rPr>
      <w:b/>
      <w:b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A37C40"/>
    <w:pPr>
      <w:spacing w:after="160" w:line="240" w:lineRule="exact"/>
    </w:pPr>
    <w:rPr>
      <w:sz w:val="20"/>
      <w:szCs w:val="20"/>
      <w:vertAlign w:val="superscript"/>
    </w:rPr>
  </w:style>
  <w:style w:type="paragraph" w:styleId="Header">
    <w:name w:val="header"/>
    <w:basedOn w:val="Normal"/>
    <w:link w:val="HeaderChar"/>
    <w:uiPriority w:val="99"/>
    <w:unhideWhenUsed/>
    <w:rsid w:val="00C32459"/>
    <w:pPr>
      <w:tabs>
        <w:tab w:val="center" w:pos="4680"/>
        <w:tab w:val="right" w:pos="9360"/>
      </w:tabs>
    </w:pPr>
  </w:style>
  <w:style w:type="character" w:customStyle="1" w:styleId="HeaderChar">
    <w:name w:val="Header Char"/>
    <w:basedOn w:val="DefaultParagraphFont"/>
    <w:link w:val="Header"/>
    <w:uiPriority w:val="99"/>
    <w:rsid w:val="00C324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2459"/>
    <w:pPr>
      <w:tabs>
        <w:tab w:val="center" w:pos="4680"/>
        <w:tab w:val="right" w:pos="9360"/>
      </w:tabs>
    </w:pPr>
  </w:style>
  <w:style w:type="character" w:customStyle="1" w:styleId="FooterChar">
    <w:name w:val="Footer Char"/>
    <w:basedOn w:val="DefaultParagraphFont"/>
    <w:link w:val="Footer"/>
    <w:uiPriority w:val="99"/>
    <w:rsid w:val="00C3245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173B"/>
    <w:rPr>
      <w:color w:val="0000FF"/>
      <w:u w:val="single"/>
    </w:rPr>
  </w:style>
  <w:style w:type="paragraph" w:styleId="Revision">
    <w:name w:val="Revision"/>
    <w:hidden/>
    <w:uiPriority w:val="99"/>
    <w:semiHidden/>
    <w:rsid w:val="001B17C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2861"/>
    <w:rPr>
      <w:sz w:val="16"/>
      <w:szCs w:val="16"/>
    </w:rPr>
  </w:style>
  <w:style w:type="paragraph" w:styleId="CommentText">
    <w:name w:val="annotation text"/>
    <w:basedOn w:val="Normal"/>
    <w:link w:val="CommentTextChar"/>
    <w:uiPriority w:val="99"/>
    <w:semiHidden/>
    <w:unhideWhenUsed/>
    <w:rsid w:val="00C82861"/>
    <w:rPr>
      <w:sz w:val="20"/>
      <w:szCs w:val="20"/>
    </w:rPr>
  </w:style>
  <w:style w:type="character" w:customStyle="1" w:styleId="CommentTextChar">
    <w:name w:val="Comment Text Char"/>
    <w:basedOn w:val="DefaultParagraphFont"/>
    <w:link w:val="CommentText"/>
    <w:uiPriority w:val="99"/>
    <w:semiHidden/>
    <w:rsid w:val="00C828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2861"/>
    <w:rPr>
      <w:b/>
      <w:bCs/>
    </w:rPr>
  </w:style>
  <w:style w:type="character" w:customStyle="1" w:styleId="CommentSubjectChar">
    <w:name w:val="Comment Subject Char"/>
    <w:basedOn w:val="CommentTextChar"/>
    <w:link w:val="CommentSubject"/>
    <w:uiPriority w:val="99"/>
    <w:semiHidden/>
    <w:rsid w:val="00C82861"/>
    <w:rPr>
      <w:rFonts w:ascii="Times New Roman" w:eastAsia="Times New Roman" w:hAnsi="Times New Roman" w:cs="Times New Roman"/>
      <w:b/>
      <w:b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EE64D4"/>
    <w:pPr>
      <w:spacing w:after="160" w:line="240" w:lineRule="exact"/>
    </w:pPr>
    <w:rPr>
      <w:rFonts w:asciiTheme="minorHAnsi" w:eastAsiaTheme="minorHAnsi" w:hAnsiTheme="minorHAnsi" w:cstheme="minorBidi"/>
      <w:sz w:val="22"/>
      <w:szCs w:val="22"/>
      <w:vertAlign w:val="superscript"/>
    </w:rPr>
  </w:style>
  <w:style w:type="character" w:customStyle="1" w:styleId="xbumpedfont15">
    <w:name w:val="x_bumpedfont15"/>
    <w:rsid w:val="00EE00CE"/>
  </w:style>
  <w:style w:type="paragraph" w:customStyle="1" w:styleId="xs16">
    <w:name w:val="x_s16"/>
    <w:basedOn w:val="Normal"/>
    <w:rsid w:val="00EE00CE"/>
    <w:pPr>
      <w:spacing w:before="100" w:beforeAutospacing="1" w:after="100" w:afterAutospacing="1"/>
    </w:pPr>
    <w:rPr>
      <w:rFonts w:ascii="Times" w:eastAsia="Calibri" w:hAnsi="Times"/>
      <w:sz w:val="20"/>
      <w:szCs w:val="20"/>
    </w:rPr>
  </w:style>
  <w:style w:type="paragraph" w:styleId="BodyTextIndent">
    <w:name w:val="Body Text Indent"/>
    <w:basedOn w:val="Normal"/>
    <w:link w:val="BodyTextIndentChar"/>
    <w:rsid w:val="00FB3D84"/>
    <w:pPr>
      <w:spacing w:after="120"/>
      <w:ind w:left="360"/>
    </w:pPr>
    <w:rPr>
      <w:lang w:val="x-none" w:eastAsia="x-none"/>
    </w:rPr>
  </w:style>
  <w:style w:type="character" w:customStyle="1" w:styleId="BodyTextIndentChar">
    <w:name w:val="Body Text Indent Char"/>
    <w:basedOn w:val="DefaultParagraphFont"/>
    <w:link w:val="BodyTextIndent"/>
    <w:rsid w:val="00FB3D8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1839">
      <w:bodyDiv w:val="1"/>
      <w:marLeft w:val="0"/>
      <w:marRight w:val="0"/>
      <w:marTop w:val="0"/>
      <w:marBottom w:val="0"/>
      <w:divBdr>
        <w:top w:val="none" w:sz="0" w:space="0" w:color="auto"/>
        <w:left w:val="none" w:sz="0" w:space="0" w:color="auto"/>
        <w:bottom w:val="none" w:sz="0" w:space="0" w:color="auto"/>
        <w:right w:val="none" w:sz="0" w:space="0" w:color="auto"/>
      </w:divBdr>
    </w:div>
    <w:div w:id="330792202">
      <w:bodyDiv w:val="1"/>
      <w:marLeft w:val="0"/>
      <w:marRight w:val="0"/>
      <w:marTop w:val="0"/>
      <w:marBottom w:val="0"/>
      <w:divBdr>
        <w:top w:val="none" w:sz="0" w:space="0" w:color="auto"/>
        <w:left w:val="none" w:sz="0" w:space="0" w:color="auto"/>
        <w:bottom w:val="none" w:sz="0" w:space="0" w:color="auto"/>
        <w:right w:val="none" w:sz="0" w:space="0" w:color="auto"/>
      </w:divBdr>
    </w:div>
    <w:div w:id="536238595">
      <w:bodyDiv w:val="1"/>
      <w:marLeft w:val="0"/>
      <w:marRight w:val="0"/>
      <w:marTop w:val="0"/>
      <w:marBottom w:val="0"/>
      <w:divBdr>
        <w:top w:val="none" w:sz="0" w:space="0" w:color="auto"/>
        <w:left w:val="none" w:sz="0" w:space="0" w:color="auto"/>
        <w:bottom w:val="none" w:sz="0" w:space="0" w:color="auto"/>
        <w:right w:val="none" w:sz="0" w:space="0" w:color="auto"/>
      </w:divBdr>
      <w:divsChild>
        <w:div w:id="1371105641">
          <w:marLeft w:val="-225"/>
          <w:marRight w:val="-225"/>
          <w:marTop w:val="0"/>
          <w:marBottom w:val="0"/>
          <w:divBdr>
            <w:top w:val="none" w:sz="0" w:space="0" w:color="auto"/>
            <w:left w:val="none" w:sz="0" w:space="0" w:color="auto"/>
            <w:bottom w:val="none" w:sz="0" w:space="0" w:color="auto"/>
            <w:right w:val="none" w:sz="0" w:space="0" w:color="auto"/>
          </w:divBdr>
          <w:divsChild>
            <w:div w:id="1574003317">
              <w:marLeft w:val="0"/>
              <w:marRight w:val="0"/>
              <w:marTop w:val="0"/>
              <w:marBottom w:val="0"/>
              <w:divBdr>
                <w:top w:val="none" w:sz="0" w:space="0" w:color="auto"/>
                <w:left w:val="none" w:sz="0" w:space="0" w:color="auto"/>
                <w:bottom w:val="none" w:sz="0" w:space="0" w:color="auto"/>
                <w:right w:val="none" w:sz="0" w:space="0" w:color="auto"/>
              </w:divBdr>
            </w:div>
          </w:divsChild>
        </w:div>
        <w:div w:id="1296718186">
          <w:marLeft w:val="-225"/>
          <w:marRight w:val="-225"/>
          <w:marTop w:val="0"/>
          <w:marBottom w:val="0"/>
          <w:divBdr>
            <w:top w:val="none" w:sz="0" w:space="0" w:color="auto"/>
            <w:left w:val="none" w:sz="0" w:space="0" w:color="auto"/>
            <w:bottom w:val="none" w:sz="0" w:space="0" w:color="auto"/>
            <w:right w:val="none" w:sz="0" w:space="0" w:color="auto"/>
          </w:divBdr>
          <w:divsChild>
            <w:div w:id="172690543">
              <w:marLeft w:val="0"/>
              <w:marRight w:val="0"/>
              <w:marTop w:val="0"/>
              <w:marBottom w:val="0"/>
              <w:divBdr>
                <w:top w:val="none" w:sz="0" w:space="0" w:color="auto"/>
                <w:left w:val="none" w:sz="0" w:space="0" w:color="auto"/>
                <w:bottom w:val="none" w:sz="0" w:space="0" w:color="auto"/>
                <w:right w:val="none" w:sz="0" w:space="0" w:color="auto"/>
              </w:divBdr>
            </w:div>
            <w:div w:id="2125733428">
              <w:marLeft w:val="0"/>
              <w:marRight w:val="0"/>
              <w:marTop w:val="0"/>
              <w:marBottom w:val="0"/>
              <w:divBdr>
                <w:top w:val="none" w:sz="0" w:space="0" w:color="auto"/>
                <w:left w:val="none" w:sz="0" w:space="0" w:color="auto"/>
                <w:bottom w:val="none" w:sz="0" w:space="0" w:color="auto"/>
                <w:right w:val="none" w:sz="0" w:space="0" w:color="auto"/>
              </w:divBdr>
            </w:div>
          </w:divsChild>
        </w:div>
        <w:div w:id="687832911">
          <w:marLeft w:val="-225"/>
          <w:marRight w:val="-225"/>
          <w:marTop w:val="0"/>
          <w:marBottom w:val="0"/>
          <w:divBdr>
            <w:top w:val="none" w:sz="0" w:space="0" w:color="auto"/>
            <w:left w:val="none" w:sz="0" w:space="0" w:color="auto"/>
            <w:bottom w:val="none" w:sz="0" w:space="0" w:color="auto"/>
            <w:right w:val="none" w:sz="0" w:space="0" w:color="auto"/>
          </w:divBdr>
          <w:divsChild>
            <w:div w:id="1419331389">
              <w:marLeft w:val="0"/>
              <w:marRight w:val="0"/>
              <w:marTop w:val="0"/>
              <w:marBottom w:val="0"/>
              <w:divBdr>
                <w:top w:val="none" w:sz="0" w:space="0" w:color="auto"/>
                <w:left w:val="none" w:sz="0" w:space="0" w:color="auto"/>
                <w:bottom w:val="none" w:sz="0" w:space="0" w:color="auto"/>
                <w:right w:val="none" w:sz="0" w:space="0" w:color="auto"/>
              </w:divBdr>
            </w:div>
            <w:div w:id="146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0056">
      <w:bodyDiv w:val="1"/>
      <w:marLeft w:val="0"/>
      <w:marRight w:val="0"/>
      <w:marTop w:val="0"/>
      <w:marBottom w:val="0"/>
      <w:divBdr>
        <w:top w:val="none" w:sz="0" w:space="0" w:color="auto"/>
        <w:left w:val="none" w:sz="0" w:space="0" w:color="auto"/>
        <w:bottom w:val="none" w:sz="0" w:space="0" w:color="auto"/>
        <w:right w:val="none" w:sz="0" w:space="0" w:color="auto"/>
      </w:divBdr>
    </w:div>
    <w:div w:id="565260446">
      <w:bodyDiv w:val="1"/>
      <w:marLeft w:val="0"/>
      <w:marRight w:val="0"/>
      <w:marTop w:val="0"/>
      <w:marBottom w:val="0"/>
      <w:divBdr>
        <w:top w:val="none" w:sz="0" w:space="0" w:color="auto"/>
        <w:left w:val="none" w:sz="0" w:space="0" w:color="auto"/>
        <w:bottom w:val="none" w:sz="0" w:space="0" w:color="auto"/>
        <w:right w:val="none" w:sz="0" w:space="0" w:color="auto"/>
      </w:divBdr>
      <w:divsChild>
        <w:div w:id="1750079014">
          <w:marLeft w:val="-225"/>
          <w:marRight w:val="-225"/>
          <w:marTop w:val="0"/>
          <w:marBottom w:val="0"/>
          <w:divBdr>
            <w:top w:val="none" w:sz="0" w:space="0" w:color="auto"/>
            <w:left w:val="none" w:sz="0" w:space="0" w:color="auto"/>
            <w:bottom w:val="none" w:sz="0" w:space="0" w:color="auto"/>
            <w:right w:val="none" w:sz="0" w:space="0" w:color="auto"/>
          </w:divBdr>
          <w:divsChild>
            <w:div w:id="1383285460">
              <w:marLeft w:val="0"/>
              <w:marRight w:val="0"/>
              <w:marTop w:val="0"/>
              <w:marBottom w:val="0"/>
              <w:divBdr>
                <w:top w:val="none" w:sz="0" w:space="0" w:color="auto"/>
                <w:left w:val="none" w:sz="0" w:space="0" w:color="auto"/>
                <w:bottom w:val="none" w:sz="0" w:space="0" w:color="auto"/>
                <w:right w:val="none" w:sz="0" w:space="0" w:color="auto"/>
              </w:divBdr>
            </w:div>
          </w:divsChild>
        </w:div>
        <w:div w:id="737870441">
          <w:marLeft w:val="-225"/>
          <w:marRight w:val="-225"/>
          <w:marTop w:val="0"/>
          <w:marBottom w:val="0"/>
          <w:divBdr>
            <w:top w:val="none" w:sz="0" w:space="0" w:color="auto"/>
            <w:left w:val="none" w:sz="0" w:space="0" w:color="auto"/>
            <w:bottom w:val="none" w:sz="0" w:space="0" w:color="auto"/>
            <w:right w:val="none" w:sz="0" w:space="0" w:color="auto"/>
          </w:divBdr>
          <w:divsChild>
            <w:div w:id="999653131">
              <w:marLeft w:val="0"/>
              <w:marRight w:val="0"/>
              <w:marTop w:val="0"/>
              <w:marBottom w:val="0"/>
              <w:divBdr>
                <w:top w:val="none" w:sz="0" w:space="0" w:color="auto"/>
                <w:left w:val="none" w:sz="0" w:space="0" w:color="auto"/>
                <w:bottom w:val="none" w:sz="0" w:space="0" w:color="auto"/>
                <w:right w:val="none" w:sz="0" w:space="0" w:color="auto"/>
              </w:divBdr>
            </w:div>
            <w:div w:id="2097362946">
              <w:marLeft w:val="0"/>
              <w:marRight w:val="0"/>
              <w:marTop w:val="0"/>
              <w:marBottom w:val="0"/>
              <w:divBdr>
                <w:top w:val="none" w:sz="0" w:space="0" w:color="auto"/>
                <w:left w:val="none" w:sz="0" w:space="0" w:color="auto"/>
                <w:bottom w:val="none" w:sz="0" w:space="0" w:color="auto"/>
                <w:right w:val="none" w:sz="0" w:space="0" w:color="auto"/>
              </w:divBdr>
            </w:div>
          </w:divsChild>
        </w:div>
        <w:div w:id="232008141">
          <w:marLeft w:val="-225"/>
          <w:marRight w:val="-225"/>
          <w:marTop w:val="0"/>
          <w:marBottom w:val="0"/>
          <w:divBdr>
            <w:top w:val="none" w:sz="0" w:space="0" w:color="auto"/>
            <w:left w:val="none" w:sz="0" w:space="0" w:color="auto"/>
            <w:bottom w:val="none" w:sz="0" w:space="0" w:color="auto"/>
            <w:right w:val="none" w:sz="0" w:space="0" w:color="auto"/>
          </w:divBdr>
          <w:divsChild>
            <w:div w:id="297882197">
              <w:marLeft w:val="0"/>
              <w:marRight w:val="0"/>
              <w:marTop w:val="0"/>
              <w:marBottom w:val="0"/>
              <w:divBdr>
                <w:top w:val="none" w:sz="0" w:space="0" w:color="auto"/>
                <w:left w:val="none" w:sz="0" w:space="0" w:color="auto"/>
                <w:bottom w:val="none" w:sz="0" w:space="0" w:color="auto"/>
                <w:right w:val="none" w:sz="0" w:space="0" w:color="auto"/>
              </w:divBdr>
            </w:div>
            <w:div w:id="6903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3316">
      <w:bodyDiv w:val="1"/>
      <w:marLeft w:val="0"/>
      <w:marRight w:val="0"/>
      <w:marTop w:val="0"/>
      <w:marBottom w:val="0"/>
      <w:divBdr>
        <w:top w:val="none" w:sz="0" w:space="0" w:color="auto"/>
        <w:left w:val="none" w:sz="0" w:space="0" w:color="auto"/>
        <w:bottom w:val="none" w:sz="0" w:space="0" w:color="auto"/>
        <w:right w:val="none" w:sz="0" w:space="0" w:color="auto"/>
      </w:divBdr>
    </w:div>
    <w:div w:id="698241598">
      <w:bodyDiv w:val="1"/>
      <w:marLeft w:val="0"/>
      <w:marRight w:val="0"/>
      <w:marTop w:val="0"/>
      <w:marBottom w:val="0"/>
      <w:divBdr>
        <w:top w:val="none" w:sz="0" w:space="0" w:color="auto"/>
        <w:left w:val="none" w:sz="0" w:space="0" w:color="auto"/>
        <w:bottom w:val="none" w:sz="0" w:space="0" w:color="auto"/>
        <w:right w:val="none" w:sz="0" w:space="0" w:color="auto"/>
      </w:divBdr>
    </w:div>
    <w:div w:id="727536483">
      <w:bodyDiv w:val="1"/>
      <w:marLeft w:val="0"/>
      <w:marRight w:val="0"/>
      <w:marTop w:val="0"/>
      <w:marBottom w:val="0"/>
      <w:divBdr>
        <w:top w:val="none" w:sz="0" w:space="0" w:color="auto"/>
        <w:left w:val="none" w:sz="0" w:space="0" w:color="auto"/>
        <w:bottom w:val="none" w:sz="0" w:space="0" w:color="auto"/>
        <w:right w:val="none" w:sz="0" w:space="0" w:color="auto"/>
      </w:divBdr>
    </w:div>
    <w:div w:id="742992162">
      <w:bodyDiv w:val="1"/>
      <w:marLeft w:val="0"/>
      <w:marRight w:val="0"/>
      <w:marTop w:val="0"/>
      <w:marBottom w:val="0"/>
      <w:divBdr>
        <w:top w:val="none" w:sz="0" w:space="0" w:color="auto"/>
        <w:left w:val="none" w:sz="0" w:space="0" w:color="auto"/>
        <w:bottom w:val="none" w:sz="0" w:space="0" w:color="auto"/>
        <w:right w:val="none" w:sz="0" w:space="0" w:color="auto"/>
      </w:divBdr>
    </w:div>
    <w:div w:id="786698490">
      <w:bodyDiv w:val="1"/>
      <w:marLeft w:val="0"/>
      <w:marRight w:val="0"/>
      <w:marTop w:val="0"/>
      <w:marBottom w:val="0"/>
      <w:divBdr>
        <w:top w:val="none" w:sz="0" w:space="0" w:color="auto"/>
        <w:left w:val="none" w:sz="0" w:space="0" w:color="auto"/>
        <w:bottom w:val="none" w:sz="0" w:space="0" w:color="auto"/>
        <w:right w:val="none" w:sz="0" w:space="0" w:color="auto"/>
      </w:divBdr>
    </w:div>
    <w:div w:id="875502521">
      <w:bodyDiv w:val="1"/>
      <w:marLeft w:val="0"/>
      <w:marRight w:val="0"/>
      <w:marTop w:val="0"/>
      <w:marBottom w:val="0"/>
      <w:divBdr>
        <w:top w:val="none" w:sz="0" w:space="0" w:color="auto"/>
        <w:left w:val="none" w:sz="0" w:space="0" w:color="auto"/>
        <w:bottom w:val="none" w:sz="0" w:space="0" w:color="auto"/>
        <w:right w:val="none" w:sz="0" w:space="0" w:color="auto"/>
      </w:divBdr>
    </w:div>
    <w:div w:id="905991678">
      <w:bodyDiv w:val="1"/>
      <w:marLeft w:val="0"/>
      <w:marRight w:val="0"/>
      <w:marTop w:val="0"/>
      <w:marBottom w:val="0"/>
      <w:divBdr>
        <w:top w:val="none" w:sz="0" w:space="0" w:color="auto"/>
        <w:left w:val="none" w:sz="0" w:space="0" w:color="auto"/>
        <w:bottom w:val="none" w:sz="0" w:space="0" w:color="auto"/>
        <w:right w:val="none" w:sz="0" w:space="0" w:color="auto"/>
      </w:divBdr>
    </w:div>
    <w:div w:id="910434259">
      <w:bodyDiv w:val="1"/>
      <w:marLeft w:val="0"/>
      <w:marRight w:val="0"/>
      <w:marTop w:val="0"/>
      <w:marBottom w:val="0"/>
      <w:divBdr>
        <w:top w:val="none" w:sz="0" w:space="0" w:color="auto"/>
        <w:left w:val="none" w:sz="0" w:space="0" w:color="auto"/>
        <w:bottom w:val="none" w:sz="0" w:space="0" w:color="auto"/>
        <w:right w:val="none" w:sz="0" w:space="0" w:color="auto"/>
      </w:divBdr>
    </w:div>
    <w:div w:id="1050345633">
      <w:bodyDiv w:val="1"/>
      <w:marLeft w:val="0"/>
      <w:marRight w:val="0"/>
      <w:marTop w:val="0"/>
      <w:marBottom w:val="0"/>
      <w:divBdr>
        <w:top w:val="none" w:sz="0" w:space="0" w:color="auto"/>
        <w:left w:val="none" w:sz="0" w:space="0" w:color="auto"/>
        <w:bottom w:val="none" w:sz="0" w:space="0" w:color="auto"/>
        <w:right w:val="none" w:sz="0" w:space="0" w:color="auto"/>
      </w:divBdr>
      <w:divsChild>
        <w:div w:id="1919820640">
          <w:marLeft w:val="547"/>
          <w:marRight w:val="0"/>
          <w:marTop w:val="120"/>
          <w:marBottom w:val="120"/>
          <w:divBdr>
            <w:top w:val="none" w:sz="0" w:space="0" w:color="auto"/>
            <w:left w:val="none" w:sz="0" w:space="0" w:color="auto"/>
            <w:bottom w:val="none" w:sz="0" w:space="0" w:color="auto"/>
            <w:right w:val="none" w:sz="0" w:space="0" w:color="auto"/>
          </w:divBdr>
        </w:div>
      </w:divsChild>
    </w:div>
    <w:div w:id="1169296284">
      <w:bodyDiv w:val="1"/>
      <w:marLeft w:val="0"/>
      <w:marRight w:val="0"/>
      <w:marTop w:val="0"/>
      <w:marBottom w:val="0"/>
      <w:divBdr>
        <w:top w:val="none" w:sz="0" w:space="0" w:color="auto"/>
        <w:left w:val="none" w:sz="0" w:space="0" w:color="auto"/>
        <w:bottom w:val="none" w:sz="0" w:space="0" w:color="auto"/>
        <w:right w:val="none" w:sz="0" w:space="0" w:color="auto"/>
      </w:divBdr>
    </w:div>
    <w:div w:id="1220479693">
      <w:bodyDiv w:val="1"/>
      <w:marLeft w:val="0"/>
      <w:marRight w:val="0"/>
      <w:marTop w:val="0"/>
      <w:marBottom w:val="0"/>
      <w:divBdr>
        <w:top w:val="none" w:sz="0" w:space="0" w:color="auto"/>
        <w:left w:val="none" w:sz="0" w:space="0" w:color="auto"/>
        <w:bottom w:val="none" w:sz="0" w:space="0" w:color="auto"/>
        <w:right w:val="none" w:sz="0" w:space="0" w:color="auto"/>
      </w:divBdr>
    </w:div>
    <w:div w:id="1264608751">
      <w:bodyDiv w:val="1"/>
      <w:marLeft w:val="0"/>
      <w:marRight w:val="0"/>
      <w:marTop w:val="0"/>
      <w:marBottom w:val="0"/>
      <w:divBdr>
        <w:top w:val="none" w:sz="0" w:space="0" w:color="auto"/>
        <w:left w:val="none" w:sz="0" w:space="0" w:color="auto"/>
        <w:bottom w:val="none" w:sz="0" w:space="0" w:color="auto"/>
        <w:right w:val="none" w:sz="0" w:space="0" w:color="auto"/>
      </w:divBdr>
    </w:div>
    <w:div w:id="1394429659">
      <w:bodyDiv w:val="1"/>
      <w:marLeft w:val="0"/>
      <w:marRight w:val="0"/>
      <w:marTop w:val="0"/>
      <w:marBottom w:val="0"/>
      <w:divBdr>
        <w:top w:val="none" w:sz="0" w:space="0" w:color="auto"/>
        <w:left w:val="none" w:sz="0" w:space="0" w:color="auto"/>
        <w:bottom w:val="none" w:sz="0" w:space="0" w:color="auto"/>
        <w:right w:val="none" w:sz="0" w:space="0" w:color="auto"/>
      </w:divBdr>
    </w:div>
    <w:div w:id="1402483906">
      <w:bodyDiv w:val="1"/>
      <w:marLeft w:val="0"/>
      <w:marRight w:val="0"/>
      <w:marTop w:val="0"/>
      <w:marBottom w:val="0"/>
      <w:divBdr>
        <w:top w:val="none" w:sz="0" w:space="0" w:color="auto"/>
        <w:left w:val="none" w:sz="0" w:space="0" w:color="auto"/>
        <w:bottom w:val="none" w:sz="0" w:space="0" w:color="auto"/>
        <w:right w:val="none" w:sz="0" w:space="0" w:color="auto"/>
      </w:divBdr>
    </w:div>
    <w:div w:id="1418669408">
      <w:bodyDiv w:val="1"/>
      <w:marLeft w:val="0"/>
      <w:marRight w:val="0"/>
      <w:marTop w:val="0"/>
      <w:marBottom w:val="0"/>
      <w:divBdr>
        <w:top w:val="none" w:sz="0" w:space="0" w:color="auto"/>
        <w:left w:val="none" w:sz="0" w:space="0" w:color="auto"/>
        <w:bottom w:val="none" w:sz="0" w:space="0" w:color="auto"/>
        <w:right w:val="none" w:sz="0" w:space="0" w:color="auto"/>
      </w:divBdr>
    </w:div>
    <w:div w:id="1462579560">
      <w:bodyDiv w:val="1"/>
      <w:marLeft w:val="0"/>
      <w:marRight w:val="0"/>
      <w:marTop w:val="0"/>
      <w:marBottom w:val="0"/>
      <w:divBdr>
        <w:top w:val="none" w:sz="0" w:space="0" w:color="auto"/>
        <w:left w:val="none" w:sz="0" w:space="0" w:color="auto"/>
        <w:bottom w:val="none" w:sz="0" w:space="0" w:color="auto"/>
        <w:right w:val="none" w:sz="0" w:space="0" w:color="auto"/>
      </w:divBdr>
    </w:div>
    <w:div w:id="1512646454">
      <w:bodyDiv w:val="1"/>
      <w:marLeft w:val="0"/>
      <w:marRight w:val="0"/>
      <w:marTop w:val="0"/>
      <w:marBottom w:val="0"/>
      <w:divBdr>
        <w:top w:val="none" w:sz="0" w:space="0" w:color="auto"/>
        <w:left w:val="none" w:sz="0" w:space="0" w:color="auto"/>
        <w:bottom w:val="none" w:sz="0" w:space="0" w:color="auto"/>
        <w:right w:val="none" w:sz="0" w:space="0" w:color="auto"/>
      </w:divBdr>
    </w:div>
    <w:div w:id="1712533283">
      <w:bodyDiv w:val="1"/>
      <w:marLeft w:val="0"/>
      <w:marRight w:val="0"/>
      <w:marTop w:val="0"/>
      <w:marBottom w:val="0"/>
      <w:divBdr>
        <w:top w:val="none" w:sz="0" w:space="0" w:color="auto"/>
        <w:left w:val="none" w:sz="0" w:space="0" w:color="auto"/>
        <w:bottom w:val="none" w:sz="0" w:space="0" w:color="auto"/>
        <w:right w:val="none" w:sz="0" w:space="0" w:color="auto"/>
      </w:divBdr>
    </w:div>
    <w:div w:id="1722171485">
      <w:bodyDiv w:val="1"/>
      <w:marLeft w:val="0"/>
      <w:marRight w:val="0"/>
      <w:marTop w:val="0"/>
      <w:marBottom w:val="0"/>
      <w:divBdr>
        <w:top w:val="none" w:sz="0" w:space="0" w:color="auto"/>
        <w:left w:val="none" w:sz="0" w:space="0" w:color="auto"/>
        <w:bottom w:val="none" w:sz="0" w:space="0" w:color="auto"/>
        <w:right w:val="none" w:sz="0" w:space="0" w:color="auto"/>
      </w:divBdr>
    </w:div>
    <w:div w:id="1988631410">
      <w:bodyDiv w:val="1"/>
      <w:marLeft w:val="0"/>
      <w:marRight w:val="0"/>
      <w:marTop w:val="0"/>
      <w:marBottom w:val="0"/>
      <w:divBdr>
        <w:top w:val="none" w:sz="0" w:space="0" w:color="auto"/>
        <w:left w:val="none" w:sz="0" w:space="0" w:color="auto"/>
        <w:bottom w:val="none" w:sz="0" w:space="0" w:color="auto"/>
        <w:right w:val="none" w:sz="0" w:space="0" w:color="auto"/>
      </w:divBdr>
    </w:div>
    <w:div w:id="1997807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50675-0ED5-46C9-9318-A97567515048}">
  <ds:schemaRefs>
    <ds:schemaRef ds:uri="http://schemas.openxmlformats.org/officeDocument/2006/bibliography"/>
  </ds:schemaRefs>
</ds:datastoreItem>
</file>

<file path=customXml/itemProps2.xml><?xml version="1.0" encoding="utf-8"?>
<ds:datastoreItem xmlns:ds="http://schemas.openxmlformats.org/officeDocument/2006/customXml" ds:itemID="{E55B0C7B-0E67-4090-80CC-2C3D73C59A0A}"/>
</file>

<file path=customXml/itemProps3.xml><?xml version="1.0" encoding="utf-8"?>
<ds:datastoreItem xmlns:ds="http://schemas.openxmlformats.org/officeDocument/2006/customXml" ds:itemID="{E1914FC4-187F-4FA5-823B-02D766F429C4}"/>
</file>

<file path=customXml/itemProps4.xml><?xml version="1.0" encoding="utf-8"?>
<ds:datastoreItem xmlns:ds="http://schemas.openxmlformats.org/officeDocument/2006/customXml" ds:itemID="{3F4C52DA-A3EC-49E7-8F10-79059176C9BC}"/>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dc:creator>
  <cp:keywords/>
  <dc:description/>
  <cp:lastModifiedBy>Admin</cp:lastModifiedBy>
  <cp:revision>2</cp:revision>
  <cp:lastPrinted>2024-09-13T15:09:00Z</cp:lastPrinted>
  <dcterms:created xsi:type="dcterms:W3CDTF">2024-09-24T13:29:00Z</dcterms:created>
  <dcterms:modified xsi:type="dcterms:W3CDTF">2024-09-24T13:29:00Z</dcterms:modified>
</cp:coreProperties>
</file>